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CF1C75" w:rsidRPr="00ED5991" w:rsidTr="00764F3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1C75" w:rsidRPr="00B91378" w:rsidRDefault="00CF1C75" w:rsidP="00764F3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2</w:t>
            </w:r>
          </w:p>
          <w:p w:rsidR="00CF1C75" w:rsidRPr="00B91378" w:rsidRDefault="00CF1C75" w:rsidP="00764F3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CF1C75" w:rsidRPr="00B91378" w:rsidRDefault="00CF1C75" w:rsidP="00764F3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CF1C75" w:rsidRPr="00ED5991" w:rsidRDefault="00CF1C75" w:rsidP="007F7B4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7F7B46">
              <w:rPr>
                <w:color w:val="000000"/>
                <w:sz w:val="24"/>
                <w:szCs w:val="24"/>
              </w:rPr>
              <w:t>02.02.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7F7B46">
              <w:rPr>
                <w:sz w:val="24"/>
                <w:szCs w:val="24"/>
              </w:rPr>
              <w:t xml:space="preserve">70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CF1C75" w:rsidRPr="00ED5991" w:rsidRDefault="00CF1C75" w:rsidP="00CF1C75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CF1C75" w:rsidRPr="00EC6E74" w:rsidRDefault="00CF1C75" w:rsidP="00CF1C75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CF1C75" w:rsidRPr="00EC6E74" w:rsidRDefault="00CF1C75" w:rsidP="00CF1C7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CF1C75" w:rsidRDefault="00CF1C75" w:rsidP="00CF1C7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color w:val="000000"/>
          <w:sz w:val="24"/>
          <w:szCs w:val="24"/>
        </w:rPr>
      </w:pPr>
      <w:r w:rsidRPr="00EB0EB5">
        <w:rPr>
          <w:sz w:val="24"/>
          <w:szCs w:val="24"/>
        </w:rPr>
        <w:t xml:space="preserve">головного спеціаліста </w:t>
      </w:r>
      <w:r w:rsidRPr="00CF1C75">
        <w:rPr>
          <w:sz w:val="24"/>
          <w:szCs w:val="24"/>
        </w:rPr>
        <w:t>відділу клінічної та наукової експертизи управління розробки програми медичних гарантій Департаменту стратегії універсального охоплення населення медичними послугами</w:t>
      </w:r>
    </w:p>
    <w:p w:rsidR="00CF1C75" w:rsidRPr="00616A81" w:rsidRDefault="00CF1C75" w:rsidP="00CF1C75">
      <w:pPr>
        <w:spacing w:line="240" w:lineRule="auto"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24"/>
        <w:gridCol w:w="6296"/>
      </w:tblGrid>
      <w:tr w:rsidR="00CF1C75" w:rsidRPr="00ED5991" w:rsidTr="00764F39">
        <w:trPr>
          <w:tblCellSpacing w:w="22" w:type="dxa"/>
        </w:trPr>
        <w:tc>
          <w:tcPr>
            <w:tcW w:w="4957" w:type="pct"/>
            <w:gridSpan w:val="3"/>
          </w:tcPr>
          <w:p w:rsidR="00CF1C75" w:rsidRPr="00ED5991" w:rsidRDefault="00CF1C75" w:rsidP="00764F3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7" w:type="pct"/>
            <w:shd w:val="clear" w:color="auto" w:fill="auto"/>
          </w:tcPr>
          <w:p w:rsidR="00CF1C75" w:rsidRPr="0080001B" w:rsidRDefault="00CF1C75" w:rsidP="00CF1C75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проведення аналізу спроможності надавачів медичних послуг надавати медичні послуги за програмою медичних гарантій;</w:t>
            </w:r>
          </w:p>
          <w:p w:rsidR="00CF1C75" w:rsidRPr="00043D8C" w:rsidRDefault="00CF1C75" w:rsidP="00CF1C75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формування переліку специфікацій та умов закупівлі медичних послуг та лікарських засобів за програмою медичних гарантій;</w:t>
            </w:r>
          </w:p>
          <w:p w:rsidR="00CF1C75" w:rsidRPr="00CF1C75" w:rsidRDefault="00CF1C75" w:rsidP="00CF1C75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здійснення комунікації з медичною спільнотою щодо реалізації державної політики у сфері державних фінансових гарантій медичного обслуговування населення за програмою медичних гарантій;</w:t>
            </w:r>
          </w:p>
          <w:p w:rsidR="00CF1C75" w:rsidRPr="00CF1C75" w:rsidRDefault="00CF1C75" w:rsidP="00CF1C75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здійснення координації діяльності робочих груп позаштатних експертів, формування груп позаштатних експертів та участь в організації заходів та проведенн</w:t>
            </w:r>
            <w:r w:rsidR="00FB2BCB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круглих столів з питань, що належать до компетенції відділу;</w:t>
            </w:r>
          </w:p>
          <w:p w:rsidR="00CF1C75" w:rsidRPr="00CF1C75" w:rsidRDefault="00CF1C75" w:rsidP="00CF1C75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опрацювання рекомендацій позаштатних експертів за результатами заходів і круглих столів;</w:t>
            </w:r>
          </w:p>
          <w:p w:rsidR="00CF1C75" w:rsidRPr="00CF1C75" w:rsidRDefault="00CF1C75" w:rsidP="00CF1C75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формування та участь в адмініструванні бази позаштатних експертів;</w:t>
            </w:r>
          </w:p>
          <w:p w:rsidR="00CF1C75" w:rsidRPr="0080001B" w:rsidRDefault="00CF1C75" w:rsidP="00CF1C75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80"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участь в координації експертної мережі для надання експертної думки з медичних питань;</w:t>
            </w:r>
          </w:p>
          <w:p w:rsidR="00CF1C75" w:rsidRDefault="00CF1C75" w:rsidP="00764F39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та залучення позаштатних експертів до розробки: стратегічних напрямів розвитку медичного обслуговування населення за програмою медичних гарантій; стандартів та критеріїв оцінки надання медичних послуг за програмою медичних гарантій; мінімальних вимог для медичних послуг в межах програми медичних гарантій; пропозицій до галузевих стандартів у сфері охорони здоров’я тощо;</w:t>
            </w:r>
          </w:p>
          <w:p w:rsidR="00CF1C75" w:rsidRDefault="00CF1C75" w:rsidP="00764F39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збору даних та рекомендацій позаштатних експертів щодо розробки програми медичних гарантій;</w:t>
            </w:r>
          </w:p>
          <w:p w:rsidR="00CF1C75" w:rsidRPr="003C2209" w:rsidRDefault="00CF1C75" w:rsidP="00764F39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участь в межах компетенції відділу в розробленні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нормативно-правових актів та забезпеченні їх виконання; формуванні та аналізі </w:t>
            </w:r>
            <w:r w:rsidR="00A97016">
              <w:rPr>
                <w:color w:val="000000"/>
                <w:sz w:val="24"/>
                <w:szCs w:val="24"/>
              </w:rPr>
              <w:t xml:space="preserve">стратегії НСЗУ як замовника медичних послуг та лікарських засобів за програмою медичних гарантій; конференціях, семінарах, нарадах та інших заходах; виконанні завдань та функцій НСЗУ щодо реалізації пріоритетних напрямів державної політики у сфері державних фінансових гарантій медичного обслуговування населення за програмою медичних гарантій; наданні консультацій щодо </w:t>
            </w:r>
            <w:r w:rsidR="00A97016">
              <w:rPr>
                <w:color w:val="000000"/>
                <w:sz w:val="24"/>
                <w:szCs w:val="24"/>
              </w:rPr>
              <w:lastRenderedPageBreak/>
              <w:t>клінічного аудиту надавачів медичних послуг; підготовці навчальних матеріалів для користувачів навчальної платформи НСЗУ; наданні консультацій з питань розвитку електронної системи охорони здоров’я; розгляді звернень громадян, запитів на отримання публічної інформації, звернень та запитів адвокатів і народних депутатів України, звернень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57" w:type="pct"/>
          </w:tcPr>
          <w:p w:rsidR="00CF1C75" w:rsidRPr="00D91231" w:rsidRDefault="00CF1C75" w:rsidP="00764F39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CF1C75" w:rsidRDefault="00CF1C75" w:rsidP="00764F39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CF1C75" w:rsidRPr="00FD11AB" w:rsidRDefault="00CF1C75" w:rsidP="00764F39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57" w:type="pct"/>
          </w:tcPr>
          <w:p w:rsidR="00CF1C75" w:rsidRDefault="00CF1C75" w:rsidP="00764F39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CF1C75" w:rsidRDefault="00CF1C75" w:rsidP="00764F39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CF1C75" w:rsidRPr="00ED5991" w:rsidRDefault="00CF1C75" w:rsidP="00764F39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7" w:type="pct"/>
          </w:tcPr>
          <w:p w:rsidR="00CF1C75" w:rsidRPr="00416ED7" w:rsidRDefault="00CF1C75" w:rsidP="00764F39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F1C75" w:rsidRPr="00416ED7" w:rsidRDefault="00CF1C75" w:rsidP="00764F39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CF1C75" w:rsidRPr="00416ED7" w:rsidRDefault="00CF1C75" w:rsidP="00764F39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CF1C75" w:rsidRPr="00416ED7" w:rsidRDefault="00CF1C75" w:rsidP="00764F39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CF1C75" w:rsidRPr="00416ED7" w:rsidRDefault="00CF1C75" w:rsidP="00764F39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CF1C75" w:rsidRPr="00416ED7" w:rsidRDefault="00CF1C75" w:rsidP="00764F39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F1C75" w:rsidRDefault="00CF1C75" w:rsidP="00764F39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CF1C75" w:rsidRDefault="00CF1C75" w:rsidP="00764F39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CF1C75" w:rsidRPr="00281173" w:rsidRDefault="00CF1C75" w:rsidP="00764F39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визначений Національною комісією зі стандартів державної мови.</w:t>
            </w:r>
          </w:p>
          <w:p w:rsidR="00CF1C75" w:rsidRDefault="00CF1C75" w:rsidP="00764F39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C75" w:rsidRPr="00D3154A" w:rsidRDefault="00CF1C75" w:rsidP="00764F39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CF1C75" w:rsidRPr="00FB2759" w:rsidRDefault="00CF1C75" w:rsidP="00764F39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CF1C75" w:rsidRPr="00D3154A" w:rsidRDefault="00CF1C75" w:rsidP="007F7B46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00 </w:t>
            </w:r>
            <w:r w:rsidRPr="00685A94">
              <w:t xml:space="preserve">хв </w:t>
            </w:r>
            <w:r w:rsidR="007F7B46" w:rsidRPr="007F7B46">
              <w:t>09</w:t>
            </w:r>
            <w:r w:rsidRPr="007F7B46">
              <w:t xml:space="preserve"> </w:t>
            </w:r>
            <w:r w:rsidR="00A97016" w:rsidRPr="007F7B46">
              <w:t>лютого</w:t>
            </w:r>
            <w:r w:rsidRPr="00685A94">
              <w:t xml:space="preserve">                     202</w:t>
            </w:r>
            <w:r w:rsidR="00A97016">
              <w:t>2</w:t>
            </w:r>
            <w:r w:rsidRPr="00685A94">
              <w:t xml:space="preserve"> року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57" w:type="pct"/>
          </w:tcPr>
          <w:p w:rsidR="00CF1C75" w:rsidRPr="00ED5991" w:rsidRDefault="00CF1C75" w:rsidP="00764F39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F2627" w:rsidRDefault="00CF2627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F1C75" w:rsidRDefault="00CF1C75" w:rsidP="00764F39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7" w:type="pct"/>
          </w:tcPr>
          <w:p w:rsidR="00CF1C75" w:rsidRPr="00D3154A" w:rsidRDefault="007F7B46" w:rsidP="00764F3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</w:t>
            </w:r>
            <w:r w:rsidR="00A97016">
              <w:rPr>
                <w:sz w:val="24"/>
                <w:szCs w:val="24"/>
              </w:rPr>
              <w:t>лютого 2022</w:t>
            </w:r>
            <w:r w:rsidR="00CF1C75" w:rsidRPr="00D3154A">
              <w:rPr>
                <w:sz w:val="24"/>
                <w:szCs w:val="24"/>
              </w:rPr>
              <w:t xml:space="preserve"> року о 10 год 00 хв.</w:t>
            </w:r>
          </w:p>
          <w:p w:rsidR="00CF2627" w:rsidRDefault="00CF2627" w:rsidP="00764F3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F1C75" w:rsidRDefault="00CF1C75" w:rsidP="00764F3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CF1C75" w:rsidRDefault="00CF1C75" w:rsidP="00764F3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F1C75" w:rsidRPr="00D3154A" w:rsidRDefault="00CF1C75" w:rsidP="00764F3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CF1C75" w:rsidRDefault="00CF1C75" w:rsidP="00764F3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F1C75" w:rsidRDefault="00CF1C75" w:rsidP="00764F3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F1C75" w:rsidRDefault="00CF1C75" w:rsidP="00764F3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F1C75" w:rsidRPr="00D3154A" w:rsidRDefault="00CF1C75" w:rsidP="00764F3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CF1C75" w:rsidRPr="00D3154A" w:rsidRDefault="00CF1C75" w:rsidP="00764F3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CF1C75" w:rsidRPr="00D3154A" w:rsidRDefault="00CF1C75" w:rsidP="00764F39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CF1C75" w:rsidRPr="00ED5991" w:rsidTr="00764F39">
        <w:trPr>
          <w:trHeight w:val="1609"/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F1C75" w:rsidRPr="00ED5991" w:rsidTr="00764F39">
        <w:trPr>
          <w:tblCellSpacing w:w="22" w:type="dxa"/>
        </w:trPr>
        <w:tc>
          <w:tcPr>
            <w:tcW w:w="4957" w:type="pct"/>
            <w:gridSpan w:val="3"/>
          </w:tcPr>
          <w:p w:rsidR="00CF1C75" w:rsidRPr="00DA0AC7" w:rsidRDefault="00CF1C75" w:rsidP="00764F39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7" w:type="pct"/>
          </w:tcPr>
          <w:p w:rsidR="00CF1C75" w:rsidRPr="00DA0AC7" w:rsidRDefault="00CF1C75" w:rsidP="00764F3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</w:t>
            </w:r>
            <w:r w:rsidRPr="00E17B68">
              <w:rPr>
                <w:color w:val="000000"/>
                <w:sz w:val="24"/>
                <w:szCs w:val="24"/>
              </w:rPr>
              <w:lastRenderedPageBreak/>
              <w:t xml:space="preserve">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0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7" w:type="pct"/>
          </w:tcPr>
          <w:p w:rsidR="00CF1C75" w:rsidRPr="00DA0AC7" w:rsidRDefault="00CF1C75" w:rsidP="00764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7" w:type="pct"/>
          </w:tcPr>
          <w:p w:rsidR="00CF1C75" w:rsidRPr="00DA0AC7" w:rsidRDefault="00CF1C75" w:rsidP="00CE120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7" w:type="pct"/>
          </w:tcPr>
          <w:p w:rsidR="00CF1C75" w:rsidRPr="00DA0AC7" w:rsidRDefault="00CF1C75" w:rsidP="00CE1202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CF1C75" w:rsidRPr="007A6CCE" w:rsidRDefault="00CF1C75" w:rsidP="00764F39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CF1C75" w:rsidRPr="007A6CCE" w:rsidRDefault="00CF1C75" w:rsidP="00764F3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F1C75" w:rsidRPr="00ED5991" w:rsidTr="00CA7D4F">
        <w:trPr>
          <w:trHeight w:val="1627"/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5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CF1C75" w:rsidRDefault="00CF1C75" w:rsidP="00764F3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CF1C75" w:rsidRPr="007A6CCE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F1C75" w:rsidRPr="00ED5991" w:rsidTr="00CA7D4F">
        <w:trPr>
          <w:trHeight w:val="1612"/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5" w:rsidRPr="007A6CCE" w:rsidRDefault="00CF1C75" w:rsidP="00764F3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1C75" w:rsidRPr="007A6CCE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1C75" w:rsidRPr="007A6CCE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F1C75" w:rsidRPr="00ED5991" w:rsidTr="00764F39">
        <w:trPr>
          <w:trHeight w:val="1471"/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5" w:rsidRPr="007A6CCE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1C75" w:rsidRPr="007A6CCE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1C75" w:rsidRPr="007A6CCE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1C75" w:rsidRPr="007A6CCE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CF1C75" w:rsidRPr="00ED5991" w:rsidTr="00CA7D4F">
        <w:trPr>
          <w:trHeight w:val="1095"/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C75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5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CF1C75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CF1C75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4957" w:type="pct"/>
            <w:gridSpan w:val="3"/>
          </w:tcPr>
          <w:p w:rsidR="00CF1C75" w:rsidRPr="00ED5991" w:rsidRDefault="00CF1C75" w:rsidP="00764F39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878" w:type="pct"/>
            <w:gridSpan w:val="2"/>
          </w:tcPr>
          <w:p w:rsidR="00CF1C75" w:rsidRPr="00ED5991" w:rsidRDefault="00CF1C75" w:rsidP="00764F3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CF1C75" w:rsidRPr="00ED5991" w:rsidRDefault="00CF1C75" w:rsidP="00764F39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F1C75" w:rsidRPr="00ED5991" w:rsidTr="00764F39">
        <w:trPr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7" w:type="pct"/>
          </w:tcPr>
          <w:p w:rsidR="00CF1C75" w:rsidRPr="00E42A3F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1C75" w:rsidRPr="00ED5991" w:rsidRDefault="00CF1C75" w:rsidP="00764F39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CF1C75" w:rsidRPr="00ED3784" w:rsidRDefault="00CF1C75" w:rsidP="00764F3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CF1C75" w:rsidRPr="00ED5991" w:rsidTr="00764F39">
        <w:trPr>
          <w:trHeight w:val="1468"/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  <w:shd w:val="clear" w:color="auto" w:fill="auto"/>
          </w:tcPr>
          <w:p w:rsidR="00CF1C75" w:rsidRPr="00ED5991" w:rsidRDefault="00CF1C75" w:rsidP="00764F39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7" w:type="pct"/>
            <w:shd w:val="clear" w:color="auto" w:fill="auto"/>
          </w:tcPr>
          <w:p w:rsidR="00CF1C75" w:rsidRPr="00432584" w:rsidRDefault="00CF1C75" w:rsidP="00764F39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Знання:</w:t>
            </w:r>
          </w:p>
          <w:p w:rsidR="00CF1C75" w:rsidRPr="00432584" w:rsidRDefault="00CF1C75" w:rsidP="00764F39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F1C75" w:rsidRDefault="00CF1C75" w:rsidP="00764F39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 xml:space="preserve">Постанови Кабінету Міністрів України від 27.12.2017                   № 1101 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</w:rPr>
              <w:t>Про утворення Національної служби здоров’я України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CF2627" w:rsidRPr="00432584" w:rsidRDefault="00CF2627" w:rsidP="00764F39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lastRenderedPageBreak/>
              <w:t>- Постанови Кабінету Міністрів України від 2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1075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Про затвердження Методики розрахунку вартості послуги з медичного обслуговування”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F1C75" w:rsidRPr="000B0753" w:rsidRDefault="00CF1C75" w:rsidP="00CF2627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2</w:t>
            </w:r>
            <w:r w:rsidR="00A97016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97016"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97016">
              <w:rPr>
                <w:rFonts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97016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97016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0 “</w:t>
            </w:r>
            <w:r w:rsidR="00A9701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Деякі питання програми державних гарантій медичного обслуговування населення у 2022 році</w:t>
            </w:r>
            <w:r w:rsidR="00CF2627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bookmarkStart w:id="0" w:name="_GoBack"/>
            <w:bookmarkEnd w:id="0"/>
          </w:p>
        </w:tc>
      </w:tr>
      <w:tr w:rsidR="00CF1C75" w:rsidRPr="00ED5991" w:rsidTr="00764F39">
        <w:trPr>
          <w:tblCellSpacing w:w="22" w:type="dxa"/>
        </w:trPr>
        <w:tc>
          <w:tcPr>
            <w:tcW w:w="157" w:type="pct"/>
          </w:tcPr>
          <w:p w:rsidR="00CF1C75" w:rsidRPr="00ED5991" w:rsidRDefault="00CF1C75" w:rsidP="00764F3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0" w:type="pct"/>
            <w:shd w:val="clear" w:color="auto" w:fill="auto"/>
          </w:tcPr>
          <w:p w:rsidR="00CF1C75" w:rsidRPr="0034751D" w:rsidRDefault="00CF1C75" w:rsidP="000B0753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4751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 w:rsidR="000B0753">
              <w:rPr>
                <w:sz w:val="24"/>
                <w:szCs w:val="24"/>
              </w:rPr>
              <w:t>клінічної та наукової експертизи</w:t>
            </w:r>
          </w:p>
        </w:tc>
        <w:tc>
          <w:tcPr>
            <w:tcW w:w="3057" w:type="pct"/>
            <w:shd w:val="clear" w:color="auto" w:fill="auto"/>
          </w:tcPr>
          <w:p w:rsidR="00CF1C75" w:rsidRPr="0034751D" w:rsidRDefault="00CF1C75" w:rsidP="00FB2BCB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Забезпечення </w:t>
            </w:r>
            <w:r w:rsidR="000B0753">
              <w:rPr>
                <w:sz w:val="24"/>
                <w:szCs w:val="24"/>
              </w:rPr>
              <w:t xml:space="preserve">проведення </w:t>
            </w:r>
            <w:r w:rsidR="00FB2BCB">
              <w:rPr>
                <w:sz w:val="24"/>
                <w:szCs w:val="24"/>
              </w:rPr>
              <w:t xml:space="preserve">аналізу </w:t>
            </w:r>
            <w:r w:rsidR="000B0753">
              <w:rPr>
                <w:sz w:val="24"/>
                <w:szCs w:val="24"/>
              </w:rPr>
              <w:t>спроможності надавачів медичних послуг</w:t>
            </w:r>
            <w:r w:rsidR="00FB2BCB">
              <w:rPr>
                <w:sz w:val="24"/>
                <w:szCs w:val="24"/>
              </w:rPr>
              <w:t xml:space="preserve"> надавати медичні послуги</w:t>
            </w:r>
            <w:r w:rsidR="000B0753">
              <w:rPr>
                <w:sz w:val="24"/>
                <w:szCs w:val="24"/>
              </w:rPr>
              <w:t xml:space="preserve"> за програмою державних гарантій медичного обслуговування населення та розробки специфікацій та умов закупівлі за програмою медичних гарантій з проведенням комунікації з лікарями щодо реалізації прогр</w:t>
            </w:r>
            <w:r w:rsidR="005D2549">
              <w:rPr>
                <w:sz w:val="24"/>
                <w:szCs w:val="24"/>
              </w:rPr>
              <w:t>ами медичних гарантій, координації експертних груп позаштатних експертів та надання пропозицій щодо порядку реалізації програми медичних гарантій</w:t>
            </w:r>
          </w:p>
        </w:tc>
      </w:tr>
    </w:tbl>
    <w:p w:rsidR="00CF1C75" w:rsidRPr="00ED5991" w:rsidRDefault="00CF1C75" w:rsidP="00CF1C75">
      <w:pPr>
        <w:spacing w:line="240" w:lineRule="auto"/>
      </w:pPr>
    </w:p>
    <w:p w:rsidR="00CF1C75" w:rsidRPr="00401739" w:rsidRDefault="00CF1C75" w:rsidP="00CF1C75"/>
    <w:p w:rsidR="00CF1C75" w:rsidRDefault="00CF1C75" w:rsidP="00CF1C75"/>
    <w:p w:rsidR="00CF1C75" w:rsidRDefault="00CF1C75" w:rsidP="00CF1C75"/>
    <w:p w:rsidR="00CF1C75" w:rsidRDefault="00CF1C75" w:rsidP="00CF1C75"/>
    <w:p w:rsidR="00CF1C75" w:rsidRDefault="00CF1C75" w:rsidP="00CF1C75"/>
    <w:p w:rsidR="00CF1C75" w:rsidRDefault="00CF1C75" w:rsidP="00CF1C75"/>
    <w:p w:rsidR="00D465EF" w:rsidRDefault="00CF2627"/>
    <w:sectPr w:rsidR="00D465EF" w:rsidSect="007F7B46">
      <w:pgSz w:w="11906" w:h="16838"/>
      <w:pgMar w:top="568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5"/>
    <w:rsid w:val="000B0753"/>
    <w:rsid w:val="005D2549"/>
    <w:rsid w:val="00655AC2"/>
    <w:rsid w:val="007F7B46"/>
    <w:rsid w:val="008915B6"/>
    <w:rsid w:val="00A97016"/>
    <w:rsid w:val="00B725A4"/>
    <w:rsid w:val="00CA7D4F"/>
    <w:rsid w:val="00CE1202"/>
    <w:rsid w:val="00CF1C75"/>
    <w:rsid w:val="00CF2627"/>
    <w:rsid w:val="00EF2802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852"/>
  <w15:chartTrackingRefBased/>
  <w15:docId w15:val="{54640909-3682-40B0-B037-4A4A2B3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75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CF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F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CF1C75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F1C75"/>
  </w:style>
  <w:style w:type="paragraph" w:customStyle="1" w:styleId="rvps14">
    <w:name w:val="rvps14"/>
    <w:basedOn w:val="a"/>
    <w:uiPriority w:val="99"/>
    <w:rsid w:val="00CF1C7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CF1C75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6458</Words>
  <Characters>3682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6</cp:revision>
  <dcterms:created xsi:type="dcterms:W3CDTF">2022-01-28T12:18:00Z</dcterms:created>
  <dcterms:modified xsi:type="dcterms:W3CDTF">2022-02-02T17:13:00Z</dcterms:modified>
</cp:coreProperties>
</file>