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6482F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482F" w:rsidRPr="00314BB8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795ACD">
              <w:rPr>
                <w:color w:val="000000"/>
                <w:sz w:val="24"/>
                <w:szCs w:val="24"/>
              </w:rPr>
              <w:t>3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6482F" w:rsidRPr="00ED5991" w:rsidRDefault="0016482F" w:rsidP="0050064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500645">
              <w:rPr>
                <w:color w:val="000000"/>
                <w:sz w:val="24"/>
                <w:szCs w:val="24"/>
              </w:rPr>
              <w:t>02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.0</w:t>
            </w:r>
            <w:r w:rsidR="00500645">
              <w:rPr>
                <w:color w:val="000000"/>
                <w:sz w:val="24"/>
                <w:szCs w:val="24"/>
                <w:lang w:val="ru-RU"/>
              </w:rPr>
              <w:t>2</w:t>
            </w:r>
            <w:r w:rsidR="004444E5" w:rsidRPr="004444E5">
              <w:rPr>
                <w:color w:val="000000"/>
                <w:sz w:val="24"/>
                <w:szCs w:val="24"/>
                <w:lang w:val="ru-RU"/>
              </w:rPr>
              <w:t>.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2022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0064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6482F" w:rsidRPr="00ED5991" w:rsidRDefault="0016482F" w:rsidP="0016482F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6482F" w:rsidRPr="00EC6E74" w:rsidRDefault="0016482F" w:rsidP="0016482F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6482F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16482F" w:rsidRDefault="00795ACD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8"/>
        </w:rPr>
      </w:pPr>
      <w:r w:rsidRPr="00105F63">
        <w:rPr>
          <w:sz w:val="24"/>
          <w:szCs w:val="28"/>
        </w:rPr>
        <w:t>головного спеціаліста Сектору з питань забезпечення рівних прав та можливостей жінок і чоловіків</w:t>
      </w:r>
    </w:p>
    <w:p w:rsidR="00795ACD" w:rsidRPr="00924E31" w:rsidRDefault="00795ACD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65"/>
        <w:gridCol w:w="6255"/>
      </w:tblGrid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7" w:type="pct"/>
            <w:shd w:val="clear" w:color="auto" w:fill="auto"/>
          </w:tcPr>
          <w:p w:rsidR="00795ACD" w:rsidRDefault="00795ACD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 w:rsidRPr="00795ACD">
              <w:rPr>
                <w:sz w:val="24"/>
              </w:rPr>
              <w:t>аналізує стан забезпечення НСЗУ рівних прав та можливостей жінок і чоловіків у сфері державних фінансових гарантій медичного обслуговування населення, у тому числі шляхом підготовки статистично-аналітичних матеріалів, які дають змогу визначити відмінності у становищі різних груп жінок і чоловіків, а також наявні проблеми та потреби (“гендерні портрети”); бере участь у проведенні оцінювання дотримання НСЗУ принципу забезпечення рівних прав та можливостей жінок і чоловіків у своїй діяльності (гендерні аудити);</w:t>
            </w:r>
          </w:p>
          <w:p w:rsidR="00795ACD" w:rsidRDefault="00795ACD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бере участь в організації</w:t>
            </w:r>
            <w:r w:rsidRPr="00091C61">
              <w:rPr>
                <w:sz w:val="24"/>
              </w:rPr>
              <w:t xml:space="preserve"> виконання Конвенції ООН про ліквідацію усіх форм дискримінації щодо жінок та Факультативного протоколу до неї, Пекінської платформи дій, Цілей сталого розвитку ООН, резолюції Ради Безпеки ООН № 1325 “Жінки, мир, безпека” та пов’язаних із нею резолюцій Ради Безпеки ООН, інших міжнародно-правових документів у сфері забезпечення гендерної рівності, Стратегії гендерної рівності Ради Європи, Європейського Союзу</w:t>
            </w:r>
            <w:r>
              <w:rPr>
                <w:sz w:val="24"/>
              </w:rPr>
              <w:t>, ОБСЄ у межах компетенції НСЗУ;</w:t>
            </w:r>
          </w:p>
          <w:p w:rsidR="00795ACD" w:rsidRDefault="00795ACD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795ACD">
              <w:rPr>
                <w:sz w:val="24"/>
              </w:rPr>
              <w:t xml:space="preserve">ере участь у розробленні </w:t>
            </w:r>
            <w:proofErr w:type="spellStart"/>
            <w:r w:rsidRPr="00795ACD">
              <w:rPr>
                <w:sz w:val="24"/>
              </w:rPr>
              <w:t>проєктів</w:t>
            </w:r>
            <w:proofErr w:type="spellEnd"/>
            <w:r w:rsidRPr="00795ACD">
              <w:rPr>
                <w:sz w:val="24"/>
              </w:rPr>
              <w:t xml:space="preserve"> нормативно-правових актів з питань забезпечення рівних прав та можливостей жінок і чоловіків</w:t>
            </w:r>
            <w:r>
              <w:rPr>
                <w:sz w:val="24"/>
              </w:rPr>
              <w:t>;</w:t>
            </w:r>
          </w:p>
          <w:p w:rsidR="00795ACD" w:rsidRDefault="00795ACD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95ACD">
              <w:rPr>
                <w:sz w:val="24"/>
              </w:rPr>
              <w:t xml:space="preserve">адає іншим структурним підрозділам НСЗУ необхідну </w:t>
            </w:r>
            <w:proofErr w:type="spellStart"/>
            <w:r w:rsidRPr="00795ACD">
              <w:rPr>
                <w:sz w:val="24"/>
              </w:rPr>
              <w:t>методично</w:t>
            </w:r>
            <w:proofErr w:type="spellEnd"/>
            <w:r w:rsidRPr="00795ACD">
              <w:rPr>
                <w:sz w:val="24"/>
              </w:rPr>
              <w:t xml:space="preserve">-консультативну допомогу щодо врахування гендерного підходу під час розроблення </w:t>
            </w:r>
            <w:proofErr w:type="spellStart"/>
            <w:r w:rsidRPr="00795ACD">
              <w:rPr>
                <w:sz w:val="24"/>
              </w:rPr>
              <w:t>проєктів</w:t>
            </w:r>
            <w:proofErr w:type="spellEnd"/>
            <w:r w:rsidRPr="00795ACD">
              <w:rPr>
                <w:sz w:val="24"/>
              </w:rPr>
              <w:t xml:space="preserve"> нормативно-правових актів, застосування </w:t>
            </w:r>
            <w:proofErr w:type="spellStart"/>
            <w:r w:rsidRPr="00795ACD">
              <w:rPr>
                <w:sz w:val="24"/>
              </w:rPr>
              <w:t>гендерно</w:t>
            </w:r>
            <w:proofErr w:type="spellEnd"/>
            <w:r w:rsidRPr="00795ACD">
              <w:rPr>
                <w:sz w:val="24"/>
              </w:rPr>
              <w:t xml:space="preserve"> орієнтованого підходу в бюджетному процесі, позитивних дій з подолання асиметрії, дисбалансу у сфері державних фінансових гарантій медичного обслуговування населення та їх припинення з урахуванням результатів гендерного аналізу</w:t>
            </w:r>
            <w:r>
              <w:rPr>
                <w:sz w:val="24"/>
              </w:rPr>
              <w:t>;</w:t>
            </w:r>
          </w:p>
          <w:p w:rsidR="00795ACD" w:rsidRDefault="00795ACD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795ACD">
              <w:rPr>
                <w:sz w:val="24"/>
              </w:rPr>
              <w:t>ере участь у виконанні загальнодержавних і регіональних програм з питань забезпечення рівних прав та можливостей жінок і чоловіків</w:t>
            </w:r>
            <w:r w:rsidR="006B4DE2">
              <w:rPr>
                <w:sz w:val="24"/>
              </w:rPr>
              <w:t>;</w:t>
            </w:r>
          </w:p>
          <w:p w:rsidR="00795ACD" w:rsidRDefault="006B4DE2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795ACD" w:rsidRPr="006B4DE2">
              <w:rPr>
                <w:sz w:val="24"/>
              </w:rPr>
              <w:t>отує пропозиції іншим структурним підрозділам НСЗУ з питань удосконалення статистичної та адміністративної звітності для поліпшення збору даних із розподілом за ознакою статі та іншими необхідними ознаками</w:t>
            </w:r>
            <w:r>
              <w:rPr>
                <w:sz w:val="24"/>
              </w:rPr>
              <w:t>;</w:t>
            </w:r>
          </w:p>
          <w:p w:rsidR="00795ACD" w:rsidRDefault="006B4DE2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 w:rsidRPr="006B4DE2">
              <w:rPr>
                <w:sz w:val="24"/>
              </w:rPr>
              <w:t>г</w:t>
            </w:r>
            <w:r w:rsidR="00795ACD" w:rsidRPr="006B4DE2">
              <w:rPr>
                <w:sz w:val="24"/>
              </w:rPr>
              <w:t xml:space="preserve">отує пропозиції, у тому числі за результатами гендерних аудитів, щодо включення положень, спрямованих на забезпечення рівних прав та можливостей жінок і чоловіків, до колективних </w:t>
            </w:r>
            <w:r w:rsidR="00795ACD" w:rsidRPr="006B4DE2">
              <w:rPr>
                <w:sz w:val="24"/>
              </w:rPr>
              <w:lastRenderedPageBreak/>
              <w:t>договорів, угод відповідно до статті 18 Закону України “Про забезпечення рівних прав та</w:t>
            </w:r>
            <w:r>
              <w:rPr>
                <w:sz w:val="24"/>
              </w:rPr>
              <w:t xml:space="preserve"> можливостей жінок і чоловіків”;</w:t>
            </w:r>
          </w:p>
          <w:p w:rsidR="00795ACD" w:rsidRDefault="006B4DE2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795ACD" w:rsidRPr="006B4DE2">
              <w:rPr>
                <w:sz w:val="24"/>
              </w:rPr>
              <w:t>ере участь в організації та проведенні для працівників НСЗУ навчальних заходів з питань забезпечення рівних прав та можливостей жінок і чоловіків</w:t>
            </w:r>
            <w:r>
              <w:rPr>
                <w:sz w:val="24"/>
              </w:rPr>
              <w:t>;</w:t>
            </w:r>
          </w:p>
          <w:p w:rsidR="00795ACD" w:rsidRDefault="006B4DE2" w:rsidP="006B4D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 w:rsidRPr="006B4DE2">
              <w:rPr>
                <w:sz w:val="24"/>
              </w:rPr>
              <w:t>г</w:t>
            </w:r>
            <w:r w:rsidR="00795ACD" w:rsidRPr="006B4DE2">
              <w:rPr>
                <w:sz w:val="24"/>
              </w:rPr>
              <w:t>отує інформацію та пропозиції для подання до підрозділів комунікації та взаємодії з громадськістю щодо висвітлення питань забезпечення рівних прав та можливостей жінок і чоловіків на офіційному веб-сайті НСЗУ та у засобах масової інформації</w:t>
            </w:r>
            <w:r>
              <w:rPr>
                <w:sz w:val="24"/>
              </w:rPr>
              <w:t>;</w:t>
            </w:r>
          </w:p>
          <w:p w:rsidR="00795ACD" w:rsidRPr="0032651D" w:rsidRDefault="006B4DE2" w:rsidP="00C619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right="113" w:hanging="18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795ACD" w:rsidRPr="006B4DE2">
              <w:rPr>
                <w:sz w:val="24"/>
              </w:rPr>
              <w:t>ере участь в організації та проведенні моніторингу виконання законів України “Про забезпечення рівних прав та можливостей жінок і чоловіків”, “Про засади запобігання та протидії дискримінації в Україні” в частині протидії дискримінації за ознакою статі або за кількома ознаками, однією з яких є стать, у межах компетенції НСЗУ.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37" w:type="pct"/>
          </w:tcPr>
          <w:p w:rsidR="00795ACD" w:rsidRPr="00D91231" w:rsidRDefault="00795ACD" w:rsidP="00795AC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795ACD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95ACD" w:rsidRPr="00FD11AB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7" w:type="pct"/>
          </w:tcPr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7" w:type="pct"/>
          </w:tcPr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95ACD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Подача додатків до заяви не є обов’язковою.</w:t>
            </w:r>
          </w:p>
          <w:p w:rsidR="00795ACD" w:rsidRPr="00281173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CD" w:rsidRPr="00D3154A" w:rsidRDefault="00795ACD" w:rsidP="00795AC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95ACD" w:rsidRPr="00FB2759" w:rsidRDefault="00795ACD" w:rsidP="00795AC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95ACD" w:rsidRPr="00D3154A" w:rsidRDefault="00795ACD" w:rsidP="00500645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500645">
              <w:t>09</w:t>
            </w:r>
            <w:r w:rsidRPr="004444E5">
              <w:rPr>
                <w:lang w:val="ru-RU"/>
              </w:rPr>
              <w:t xml:space="preserve"> </w:t>
            </w:r>
            <w:r w:rsidR="006B4DE2"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7" w:type="pct"/>
          </w:tcPr>
          <w:p w:rsidR="00795ACD" w:rsidRPr="00D3154A" w:rsidRDefault="00500645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95ACD" w:rsidRPr="004444E5">
              <w:rPr>
                <w:sz w:val="24"/>
                <w:szCs w:val="24"/>
              </w:rPr>
              <w:t xml:space="preserve"> </w:t>
            </w:r>
            <w:r w:rsidR="006B4DE2">
              <w:rPr>
                <w:sz w:val="24"/>
                <w:szCs w:val="24"/>
              </w:rPr>
              <w:t>лютого</w:t>
            </w:r>
            <w:r w:rsidR="00795ACD" w:rsidRPr="004444E5">
              <w:rPr>
                <w:sz w:val="24"/>
                <w:szCs w:val="24"/>
              </w:rPr>
              <w:t xml:space="preserve"> 2022 року</w:t>
            </w:r>
            <w:r w:rsidR="00795ACD" w:rsidRPr="00D35443">
              <w:rPr>
                <w:sz w:val="24"/>
                <w:szCs w:val="24"/>
              </w:rPr>
              <w:t xml:space="preserve"> о 10 год 00 хв.</w:t>
            </w: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95ACD" w:rsidRPr="00CD6C39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95ACD" w:rsidRPr="00D3154A" w:rsidRDefault="00795ACD" w:rsidP="00795AC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95ACD" w:rsidRPr="00ED5991" w:rsidTr="00795ACD">
        <w:trPr>
          <w:trHeight w:val="1609"/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95ACD" w:rsidRPr="00DA0AC7" w:rsidRDefault="00795ACD" w:rsidP="00795AC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7" w:type="pct"/>
          </w:tcPr>
          <w:p w:rsidR="00795ACD" w:rsidRPr="00DA0AC7" w:rsidRDefault="00795ACD" w:rsidP="007C1D4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</w:t>
            </w:r>
            <w:r w:rsidRPr="00E17B68">
              <w:rPr>
                <w:sz w:val="24"/>
                <w:szCs w:val="24"/>
              </w:rPr>
              <w:lastRenderedPageBreak/>
              <w:t xml:space="preserve">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500645">
        <w:trPr>
          <w:trHeight w:val="1619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95ACD" w:rsidRPr="00ED5991" w:rsidTr="00500645">
        <w:trPr>
          <w:trHeight w:val="1631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95ACD" w:rsidRPr="00ED5991" w:rsidTr="00500645">
        <w:trPr>
          <w:trHeight w:val="1345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795ACD" w:rsidRPr="00ED5991" w:rsidTr="00500645">
        <w:trPr>
          <w:trHeight w:val="1056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795ACD" w:rsidRPr="00ED5991" w:rsidTr="006B4DE2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7" w:type="pct"/>
          </w:tcPr>
          <w:p w:rsidR="00795ACD" w:rsidRPr="00E42A3F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6B4DE2" w:rsidRPr="00ED3784" w:rsidRDefault="00795ACD" w:rsidP="00500645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7" w:type="pct"/>
          </w:tcPr>
          <w:p w:rsidR="006B4DE2" w:rsidRPr="0087229B" w:rsidRDefault="006B4DE2" w:rsidP="006B4DE2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87229B">
              <w:rPr>
                <w:sz w:val="24"/>
                <w:szCs w:val="24"/>
                <w:lang w:eastAsia="ru-RU"/>
              </w:rPr>
              <w:t>Знання:</w:t>
            </w:r>
          </w:p>
          <w:p w:rsidR="006B4DE2" w:rsidRPr="0087229B" w:rsidRDefault="006B4DE2" w:rsidP="006B4DE2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87229B">
              <w:rPr>
                <w:sz w:val="24"/>
                <w:szCs w:val="24"/>
                <w:lang w:eastAsia="ru-RU"/>
              </w:rPr>
              <w:t>-</w:t>
            </w:r>
            <w:r w:rsidRPr="0087229B">
              <w:rPr>
                <w:sz w:val="24"/>
                <w:szCs w:val="24"/>
              </w:rPr>
              <w:t> </w:t>
            </w:r>
            <w:r w:rsidRPr="0087229B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87229B">
              <w:rPr>
                <w:sz w:val="24"/>
                <w:szCs w:val="24"/>
                <w:lang w:val="ru-RU" w:eastAsia="ru-RU"/>
              </w:rPr>
              <w:t>“</w:t>
            </w:r>
            <w:r w:rsidRPr="0087229B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87229B">
              <w:rPr>
                <w:sz w:val="24"/>
                <w:szCs w:val="24"/>
                <w:lang w:val="ru-RU" w:eastAsia="ru-RU"/>
              </w:rPr>
              <w:t>”</w:t>
            </w:r>
            <w:r w:rsidRPr="0087229B">
              <w:rPr>
                <w:sz w:val="24"/>
                <w:szCs w:val="24"/>
                <w:lang w:eastAsia="ru-RU"/>
              </w:rPr>
              <w:t>;</w:t>
            </w:r>
          </w:p>
          <w:p w:rsidR="006B4DE2" w:rsidRPr="0087229B" w:rsidRDefault="006B4DE2" w:rsidP="006B4DE2">
            <w:pPr>
              <w:spacing w:line="240" w:lineRule="auto"/>
              <w:ind w:right="26"/>
              <w:jc w:val="both"/>
              <w:rPr>
                <w:sz w:val="24"/>
                <w:szCs w:val="24"/>
              </w:rPr>
            </w:pPr>
            <w:r w:rsidRPr="0087229B">
              <w:rPr>
                <w:sz w:val="24"/>
                <w:szCs w:val="24"/>
              </w:rPr>
              <w:t xml:space="preserve">- Постанови Кабінету Міністрів України від 27.12.2017 </w:t>
            </w:r>
            <w:r w:rsidRPr="0087229B">
              <w:rPr>
                <w:sz w:val="24"/>
                <w:szCs w:val="24"/>
              </w:rPr>
              <w:br/>
              <w:t xml:space="preserve">№ 1101 </w:t>
            </w:r>
            <w:r w:rsidRPr="0087229B">
              <w:rPr>
                <w:sz w:val="24"/>
                <w:szCs w:val="24"/>
                <w:lang w:val="ru-RU"/>
              </w:rPr>
              <w:t>“</w:t>
            </w:r>
            <w:r w:rsidRPr="0087229B">
              <w:rPr>
                <w:sz w:val="24"/>
                <w:szCs w:val="24"/>
              </w:rPr>
              <w:t>Про утворення Національної служби здоров’я України</w:t>
            </w:r>
            <w:r w:rsidRPr="0087229B">
              <w:rPr>
                <w:sz w:val="24"/>
                <w:szCs w:val="24"/>
                <w:lang w:val="ru-RU"/>
              </w:rPr>
              <w:t>”</w:t>
            </w:r>
            <w:r w:rsidRPr="0087229B">
              <w:rPr>
                <w:sz w:val="24"/>
                <w:szCs w:val="24"/>
              </w:rPr>
              <w:t>;</w:t>
            </w:r>
          </w:p>
          <w:p w:rsidR="006B4DE2" w:rsidRPr="0087229B" w:rsidRDefault="006B4DE2" w:rsidP="006B4DE2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87229B">
              <w:rPr>
                <w:sz w:val="24"/>
                <w:szCs w:val="24"/>
              </w:rPr>
              <w:t xml:space="preserve">- Закону України </w:t>
            </w:r>
            <w:r w:rsidRPr="0087229B">
              <w:rPr>
                <w:sz w:val="24"/>
                <w:szCs w:val="24"/>
                <w:lang w:val="ru-RU"/>
              </w:rPr>
              <w:t>“</w:t>
            </w:r>
            <w:r w:rsidRPr="0087229B">
              <w:rPr>
                <w:sz w:val="24"/>
                <w:szCs w:val="24"/>
              </w:rPr>
              <w:t>Про захист персональних даних</w:t>
            </w:r>
            <w:r w:rsidRPr="0087229B">
              <w:rPr>
                <w:sz w:val="24"/>
                <w:szCs w:val="24"/>
                <w:lang w:val="ru-RU"/>
              </w:rPr>
              <w:t>”;</w:t>
            </w:r>
          </w:p>
          <w:p w:rsidR="006B4DE2" w:rsidRPr="0087229B" w:rsidRDefault="006B4DE2" w:rsidP="006B4DE2">
            <w:pPr>
              <w:tabs>
                <w:tab w:val="left" w:pos="180"/>
              </w:tabs>
              <w:spacing w:line="240" w:lineRule="auto"/>
              <w:jc w:val="both"/>
              <w:rPr>
                <w:sz w:val="24"/>
              </w:rPr>
            </w:pPr>
            <w:r w:rsidRPr="0087229B">
              <w:rPr>
                <w:sz w:val="24"/>
                <w:szCs w:val="24"/>
                <w:lang w:eastAsia="ru-RU"/>
              </w:rPr>
              <w:lastRenderedPageBreak/>
              <w:t xml:space="preserve">- Закону України </w:t>
            </w:r>
            <w:r w:rsidRPr="0087229B">
              <w:rPr>
                <w:sz w:val="24"/>
              </w:rPr>
              <w:t>“Про забезпечення рівних прав та можливостей жінок і чоловіків”;</w:t>
            </w:r>
          </w:p>
          <w:p w:rsidR="006B4DE2" w:rsidRPr="0087229B" w:rsidRDefault="006B4DE2" w:rsidP="006B4DE2">
            <w:pPr>
              <w:tabs>
                <w:tab w:val="left" w:pos="180"/>
              </w:tabs>
              <w:spacing w:line="240" w:lineRule="auto"/>
              <w:jc w:val="both"/>
              <w:rPr>
                <w:sz w:val="24"/>
              </w:rPr>
            </w:pPr>
            <w:r w:rsidRPr="0087229B">
              <w:rPr>
                <w:sz w:val="24"/>
              </w:rPr>
              <w:t>- Закону України “Про засади запобігання та протидії дискримінації в Україні”;</w:t>
            </w:r>
          </w:p>
          <w:p w:rsidR="006B4DE2" w:rsidRPr="0087229B" w:rsidRDefault="006B4DE2" w:rsidP="006B4DE2">
            <w:pPr>
              <w:tabs>
                <w:tab w:val="left" w:pos="180"/>
              </w:tabs>
              <w:spacing w:line="240" w:lineRule="auto"/>
              <w:jc w:val="both"/>
              <w:rPr>
                <w:sz w:val="24"/>
              </w:rPr>
            </w:pPr>
            <w:r w:rsidRPr="0087229B">
              <w:rPr>
                <w:sz w:val="24"/>
              </w:rPr>
              <w:t xml:space="preserve">- Розпорядження Кабінету Міністрів України </w:t>
            </w:r>
            <w:r w:rsidR="00D65D1C">
              <w:rPr>
                <w:sz w:val="24"/>
              </w:rPr>
              <w:t xml:space="preserve">                           </w:t>
            </w:r>
            <w:r w:rsidRPr="0087229B">
              <w:rPr>
                <w:sz w:val="24"/>
              </w:rPr>
              <w:t>від 28</w:t>
            </w:r>
            <w:r w:rsidR="00D65D1C">
              <w:rPr>
                <w:sz w:val="24"/>
              </w:rPr>
              <w:t>.10.</w:t>
            </w:r>
            <w:r w:rsidRPr="0087229B">
              <w:rPr>
                <w:sz w:val="24"/>
              </w:rPr>
              <w:t xml:space="preserve">2020 №1544-р </w:t>
            </w:r>
            <w:r w:rsidRPr="0087229B">
              <w:rPr>
                <w:sz w:val="24"/>
                <w:szCs w:val="24"/>
              </w:rPr>
              <w:t>“</w:t>
            </w:r>
            <w:r w:rsidRPr="0087229B">
              <w:rPr>
                <w:bCs/>
                <w:sz w:val="24"/>
                <w:szCs w:val="32"/>
                <w:shd w:val="clear" w:color="auto" w:fill="FFFFFF"/>
              </w:rPr>
              <w:t>Про затвердження Національного плану дій з виконання резолюції Ради Безпеки ООН 1325 “Жінки, мир, безпека” на період до 2025 року</w:t>
            </w:r>
            <w:r w:rsidRPr="0087229B">
              <w:rPr>
                <w:sz w:val="24"/>
                <w:szCs w:val="24"/>
              </w:rPr>
              <w:t>”</w:t>
            </w:r>
            <w:r w:rsidRPr="0087229B">
              <w:rPr>
                <w:sz w:val="24"/>
              </w:rPr>
              <w:t>;</w:t>
            </w:r>
          </w:p>
          <w:p w:rsidR="00795ACD" w:rsidRPr="0087229B" w:rsidRDefault="006B4DE2" w:rsidP="00D65D1C">
            <w:pPr>
              <w:pStyle w:val="a3"/>
              <w:spacing w:after="8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229B">
              <w:rPr>
                <w:sz w:val="24"/>
              </w:rPr>
              <w:t xml:space="preserve">- Постанови Кабінету Міністрів України </w:t>
            </w:r>
            <w:r w:rsidR="00D65D1C">
              <w:rPr>
                <w:sz w:val="24"/>
              </w:rPr>
              <w:t xml:space="preserve">                                     </w:t>
            </w:r>
            <w:r w:rsidRPr="0087229B">
              <w:rPr>
                <w:sz w:val="24"/>
              </w:rPr>
              <w:t xml:space="preserve">від </w:t>
            </w:r>
            <w:r w:rsidR="00D65D1C">
              <w:rPr>
                <w:sz w:val="24"/>
              </w:rPr>
              <w:t>0</w:t>
            </w:r>
            <w:r w:rsidRPr="0087229B">
              <w:rPr>
                <w:sz w:val="24"/>
              </w:rPr>
              <w:t>9</w:t>
            </w:r>
            <w:r w:rsidR="00D65D1C">
              <w:rPr>
                <w:sz w:val="24"/>
              </w:rPr>
              <w:t>.10.</w:t>
            </w:r>
            <w:r w:rsidRPr="0087229B">
              <w:rPr>
                <w:sz w:val="24"/>
              </w:rPr>
              <w:t>2020  №</w:t>
            </w:r>
            <w:r w:rsidR="00D65D1C">
              <w:rPr>
                <w:sz w:val="24"/>
              </w:rPr>
              <w:t> </w:t>
            </w:r>
            <w:r w:rsidRPr="0087229B">
              <w:rPr>
                <w:sz w:val="24"/>
              </w:rPr>
              <w:t>930 “Деякі питання забезпечення рівних прав та</w:t>
            </w:r>
            <w:r w:rsidR="00D65D1C">
              <w:rPr>
                <w:sz w:val="24"/>
              </w:rPr>
              <w:t xml:space="preserve"> можливостей жінок і чоловіків”</w:t>
            </w:r>
            <w:bookmarkStart w:id="0" w:name="_GoBack"/>
            <w:bookmarkEnd w:id="0"/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0" w:type="pct"/>
            <w:shd w:val="clear" w:color="auto" w:fill="auto"/>
          </w:tcPr>
          <w:p w:rsidR="006B4DE2" w:rsidRPr="00725B60" w:rsidRDefault="006B4DE2" w:rsidP="00F51CBA">
            <w:pPr>
              <w:spacing w:line="240" w:lineRule="auto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 w:rsidRPr="00725B60">
              <w:rPr>
                <w:sz w:val="24"/>
              </w:rPr>
              <w:t>забезпечення надання жінкам і чоловікам рівних прав та можливостей у сфері державних гарантій медичного обслуговування населення</w:t>
            </w:r>
          </w:p>
          <w:p w:rsidR="00795ACD" w:rsidRPr="00CC6B0E" w:rsidRDefault="00795ACD" w:rsidP="00795ACD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7" w:type="pct"/>
            <w:shd w:val="clear" w:color="auto" w:fill="auto"/>
          </w:tcPr>
          <w:p w:rsidR="006B4DE2" w:rsidRPr="0087229B" w:rsidRDefault="006B4DE2" w:rsidP="006B4DE2">
            <w:pPr>
              <w:spacing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87229B">
              <w:rPr>
                <w:sz w:val="24"/>
                <w:szCs w:val="24"/>
                <w:lang w:eastAsia="ru-RU"/>
              </w:rPr>
              <w:t xml:space="preserve">Забезпечення </w:t>
            </w:r>
            <w:r w:rsidRPr="0087229B">
              <w:rPr>
                <w:sz w:val="24"/>
              </w:rPr>
              <w:t>надання жінкам і чоловікам рівних прав та можливостей у сфері державних гарантій медичного обслуговування населення.</w:t>
            </w:r>
          </w:p>
          <w:p w:rsidR="00795ACD" w:rsidRPr="0087229B" w:rsidRDefault="00795ACD" w:rsidP="00795AC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482F" w:rsidRPr="002D3003" w:rsidRDefault="0016482F" w:rsidP="0016482F"/>
    <w:p w:rsidR="00D465EF" w:rsidRDefault="00D65D1C"/>
    <w:sectPr w:rsidR="00D465EF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29"/>
    <w:multiLevelType w:val="hybridMultilevel"/>
    <w:tmpl w:val="CCF2014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40E3"/>
    <w:multiLevelType w:val="hybridMultilevel"/>
    <w:tmpl w:val="EEB88912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6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2F"/>
    <w:rsid w:val="0016482F"/>
    <w:rsid w:val="002802B2"/>
    <w:rsid w:val="004444E5"/>
    <w:rsid w:val="00500645"/>
    <w:rsid w:val="00655AC2"/>
    <w:rsid w:val="006B4DE2"/>
    <w:rsid w:val="00795ACD"/>
    <w:rsid w:val="007C1D4B"/>
    <w:rsid w:val="0087229B"/>
    <w:rsid w:val="008915B6"/>
    <w:rsid w:val="00B725A4"/>
    <w:rsid w:val="00C61987"/>
    <w:rsid w:val="00D65D1C"/>
    <w:rsid w:val="00EC27B8"/>
    <w:rsid w:val="00EF2802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306"/>
  <w15:chartTrackingRefBased/>
  <w15:docId w15:val="{12129D62-8532-4C72-BC6E-DC2BE6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F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64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6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16482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6482F"/>
  </w:style>
  <w:style w:type="paragraph" w:customStyle="1" w:styleId="rvps14">
    <w:name w:val="rvps14"/>
    <w:basedOn w:val="a"/>
    <w:uiPriority w:val="99"/>
    <w:rsid w:val="001648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16482F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1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6746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10</cp:revision>
  <cp:lastPrinted>2022-01-26T13:54:00Z</cp:lastPrinted>
  <dcterms:created xsi:type="dcterms:W3CDTF">2022-01-26T13:38:00Z</dcterms:created>
  <dcterms:modified xsi:type="dcterms:W3CDTF">2022-02-02T18:21:00Z</dcterms:modified>
</cp:coreProperties>
</file>