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D77181" w:rsidRPr="00ED5991" w:rsidTr="006C7EA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7181" w:rsidRPr="00B91378" w:rsidRDefault="00D77181" w:rsidP="006C7E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</w:p>
          <w:p w:rsidR="00D77181" w:rsidRPr="00B91378" w:rsidRDefault="00D77181" w:rsidP="006C7EA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D77181" w:rsidRPr="00B91378" w:rsidRDefault="00D77181" w:rsidP="006C7EA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D77181" w:rsidRPr="00ED5991" w:rsidRDefault="00D77181" w:rsidP="00F13B1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593F">
              <w:rPr>
                <w:color w:val="000000"/>
                <w:sz w:val="24"/>
                <w:szCs w:val="24"/>
              </w:rPr>
              <w:t xml:space="preserve">від </w:t>
            </w:r>
            <w:r w:rsidR="00F13B1D">
              <w:rPr>
                <w:color w:val="000000"/>
                <w:sz w:val="24"/>
                <w:szCs w:val="24"/>
              </w:rPr>
              <w:t>07.02.</w:t>
            </w:r>
            <w:r w:rsidRPr="002E593F">
              <w:rPr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2E593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E593F">
              <w:rPr>
                <w:sz w:val="24"/>
                <w:szCs w:val="24"/>
              </w:rPr>
              <w:t xml:space="preserve">№ </w:t>
            </w:r>
            <w:r w:rsidR="00F13B1D">
              <w:rPr>
                <w:sz w:val="24"/>
                <w:szCs w:val="24"/>
              </w:rPr>
              <w:t>81</w:t>
            </w:r>
            <w:r w:rsidRPr="002E593F">
              <w:rPr>
                <w:sz w:val="24"/>
                <w:szCs w:val="24"/>
              </w:rPr>
              <w:t xml:space="preserve"> - к</w:t>
            </w:r>
          </w:p>
        </w:tc>
      </w:tr>
    </w:tbl>
    <w:p w:rsidR="00D77181" w:rsidRPr="00ED5991" w:rsidRDefault="00D77181" w:rsidP="00D77181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D77181" w:rsidRPr="00EC6E74" w:rsidRDefault="00D77181" w:rsidP="00D77181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D77181" w:rsidRPr="00EC6E74" w:rsidRDefault="00D77181" w:rsidP="00D771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D77181" w:rsidRDefault="00D77181" w:rsidP="00D771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1A56E0">
        <w:rPr>
          <w:sz w:val="24"/>
          <w:szCs w:val="24"/>
        </w:rPr>
        <w:t>головн</w:t>
      </w:r>
      <w:r>
        <w:rPr>
          <w:sz w:val="24"/>
          <w:szCs w:val="24"/>
        </w:rPr>
        <w:t>ого</w:t>
      </w:r>
      <w:r w:rsidRPr="001A56E0">
        <w:rPr>
          <w:sz w:val="24"/>
          <w:szCs w:val="24"/>
        </w:rPr>
        <w:t xml:space="preserve"> спеціаліст</w:t>
      </w:r>
      <w:r>
        <w:rPr>
          <w:sz w:val="24"/>
          <w:szCs w:val="24"/>
        </w:rPr>
        <w:t>а</w:t>
      </w:r>
      <w:r w:rsidRPr="001A56E0">
        <w:rPr>
          <w:sz w:val="24"/>
          <w:szCs w:val="24"/>
        </w:rPr>
        <w:t xml:space="preserve"> </w:t>
      </w:r>
      <w:r w:rsidRPr="008F3B93">
        <w:rPr>
          <w:sz w:val="24"/>
          <w:szCs w:val="24"/>
        </w:rPr>
        <w:t xml:space="preserve">відділу </w:t>
      </w:r>
      <w:r>
        <w:rPr>
          <w:sz w:val="24"/>
          <w:szCs w:val="24"/>
          <w:lang w:eastAsia="ru-RU"/>
        </w:rPr>
        <w:t>взаємодії з органами державної влади</w:t>
      </w:r>
      <w:r w:rsidRPr="008F3B93">
        <w:rPr>
          <w:sz w:val="24"/>
          <w:szCs w:val="24"/>
        </w:rPr>
        <w:t xml:space="preserve"> </w:t>
      </w:r>
    </w:p>
    <w:p w:rsidR="00D77181" w:rsidRDefault="00D77181" w:rsidP="00D771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8F3B93">
        <w:rPr>
          <w:sz w:val="24"/>
          <w:szCs w:val="24"/>
        </w:rPr>
        <w:t>Департаменту комунікацій</w:t>
      </w:r>
    </w:p>
    <w:p w:rsidR="00A30C17" w:rsidRPr="00616A81" w:rsidRDefault="00A30C17" w:rsidP="00D771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b/>
          <w:bCs/>
          <w:szCs w:val="28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88"/>
        <w:gridCol w:w="6232"/>
      </w:tblGrid>
      <w:tr w:rsidR="00D77181" w:rsidRPr="00ED5991" w:rsidTr="006C7EA0">
        <w:trPr>
          <w:tblCellSpacing w:w="22" w:type="dxa"/>
        </w:trPr>
        <w:tc>
          <w:tcPr>
            <w:tcW w:w="4957" w:type="pct"/>
            <w:gridSpan w:val="3"/>
          </w:tcPr>
          <w:p w:rsidR="00D77181" w:rsidRPr="00ED5991" w:rsidRDefault="00D77181" w:rsidP="006C7EA0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27" w:type="pct"/>
            <w:shd w:val="clear" w:color="auto" w:fill="auto"/>
          </w:tcPr>
          <w:p w:rsidR="00D77181" w:rsidRPr="00AF72DB" w:rsidRDefault="00D77181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участь у розробці та реалізації комунікаційної стратегії взаємодії з органами державної влади, підготовка звітів щодо її реалізації в межах компетенції;</w:t>
            </w:r>
          </w:p>
          <w:p w:rsidR="00D77181" w:rsidRDefault="00D77181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 xml:space="preserve">здійснення взаємодії з органами державної влади, підготовка відповідей на запити органів державної влади щодо </w:t>
            </w:r>
            <w:proofErr w:type="spellStart"/>
            <w:r>
              <w:t>активностей</w:t>
            </w:r>
            <w:proofErr w:type="spellEnd"/>
            <w:r>
              <w:t xml:space="preserve"> НСЗУ відповідно до вимог чинного законодавства;</w:t>
            </w:r>
          </w:p>
          <w:p w:rsidR="00D77181" w:rsidRDefault="00D77181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здійснення моніторингу проведення засідань комітетів Верховної Ради України, Кабінету Міністрів України, на яких розглядаються питання, віднесені до компетенції НСЗУ;</w:t>
            </w:r>
          </w:p>
          <w:p w:rsidR="00D77181" w:rsidRDefault="00D77181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відстеження та сприянн</w:t>
            </w:r>
            <w:r w:rsidR="001A4E01">
              <w:t>я</w:t>
            </w:r>
            <w:r>
              <w:t xml:space="preserve"> вчасному реагуванню на критичні виступи і зауваження органів державної влади на адресу НСЗУ;</w:t>
            </w:r>
          </w:p>
          <w:p w:rsidR="00D77181" w:rsidRDefault="00D77181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підтримка робочих контрактів із підрозділами Верховної Ради України, Кабінету Міністрів України, міністерств, іншими центральними та місцевими органами виконавчої влади, органами місцевого самоврядування</w:t>
            </w:r>
            <w:r w:rsidR="002569A9">
              <w:t>,</w:t>
            </w:r>
            <w:r>
              <w:t xml:space="preserve"> державними установами, громадськими організаціями з питань діяльності НСЗУ, налагодження ефективної співпраці</w:t>
            </w:r>
            <w:r w:rsidR="002569A9">
              <w:t>;</w:t>
            </w:r>
          </w:p>
          <w:p w:rsidR="002569A9" w:rsidRDefault="002569A9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участь у координації діяльності міжрегіональних департаментів НСЗУ з питань надання органам місцевого самоврядування інформаційних матеріалів щодо діяльності НСЗУ та ходу реалізації медичної реформи;</w:t>
            </w:r>
          </w:p>
          <w:p w:rsidR="002569A9" w:rsidRDefault="002569A9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підготовка пропозицій для подання в установленому порядку керівництву НСЗУ щодо поліпшення взаємодії з підрозділами Верховної Ради України, Кабінету Міністрів України, міністерств, іншими центральними та місцевими органами виконавчої влади, органами місцевого самоврядування, державними установами, громадськими організаціями;</w:t>
            </w:r>
          </w:p>
          <w:p w:rsidR="002569A9" w:rsidRDefault="002569A9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опрацювання в межах компетенції запитів та звернень народних депутатів України, центральних та місцевих органів виконавчої влади, органів місцевого самоврядування, державних установ, громадських організацій з питань, що належать до компетенції відділу;</w:t>
            </w:r>
          </w:p>
          <w:p w:rsidR="002569A9" w:rsidRDefault="002569A9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підготовка матеріалів керівництву відділу, Департаменту, НСЗУ для участі у засіданнях</w:t>
            </w:r>
            <w:r w:rsidR="00712A29">
              <w:t xml:space="preserve"> і нарадах комітетів Верховної Ради України, Кабінету Міністрів України з питань, що належать до компетенції відділу;</w:t>
            </w:r>
          </w:p>
          <w:p w:rsidR="00712A29" w:rsidRDefault="00712A29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lastRenderedPageBreak/>
              <w:t>здійснення аналізу та узагальнення кращого досвіду інших країн з питань ефективного організаційного та інформаційно-аналітичного забезпечення взаємодії з органами державної влади, громадськими організаціями у сфері реалізації державних фінансових гарантій медичного обслуговування населення;</w:t>
            </w:r>
          </w:p>
          <w:p w:rsidR="00D77181" w:rsidRPr="00AF72DB" w:rsidRDefault="00712A29" w:rsidP="00712A29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за дорученням керівництва відділу, Департаменту та НСЗУ виконання інших завдань у межах компетенції відділу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27" w:type="pct"/>
          </w:tcPr>
          <w:p w:rsidR="00D77181" w:rsidRPr="00D91231" w:rsidRDefault="00D77181" w:rsidP="006C7EA0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D77181" w:rsidRDefault="00D77181" w:rsidP="006C7EA0">
            <w:pPr>
              <w:numPr>
                <w:ilvl w:val="0"/>
                <w:numId w:val="1"/>
              </w:numPr>
              <w:spacing w:line="240" w:lineRule="auto"/>
              <w:ind w:left="181" w:right="113" w:hanging="181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D77181" w:rsidRPr="00FD11AB" w:rsidRDefault="00D77181" w:rsidP="006C7EA0">
            <w:pPr>
              <w:numPr>
                <w:ilvl w:val="0"/>
                <w:numId w:val="1"/>
              </w:numPr>
              <w:spacing w:line="240" w:lineRule="auto"/>
              <w:ind w:left="181" w:right="113" w:hanging="181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27" w:type="pct"/>
          </w:tcPr>
          <w:p w:rsidR="00D77181" w:rsidRDefault="00D77181" w:rsidP="006C7EA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D77181" w:rsidRDefault="00D77181" w:rsidP="006C7EA0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D77181" w:rsidRPr="00ED5991" w:rsidRDefault="00D77181" w:rsidP="006C7EA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27" w:type="pct"/>
          </w:tcPr>
          <w:p w:rsidR="00D77181" w:rsidRPr="00416ED7" w:rsidRDefault="00D77181" w:rsidP="006C7EA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77181" w:rsidRPr="00416ED7" w:rsidRDefault="00D77181" w:rsidP="006C7EA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D77181" w:rsidRPr="00416ED7" w:rsidRDefault="00D77181" w:rsidP="006C7EA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D77181" w:rsidRPr="00416ED7" w:rsidRDefault="00D77181" w:rsidP="006C7EA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D77181" w:rsidRPr="00416ED7" w:rsidRDefault="00D77181" w:rsidP="006C7EA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77181" w:rsidRPr="00416ED7" w:rsidRDefault="00D77181" w:rsidP="006C7EA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77181" w:rsidRDefault="00D77181" w:rsidP="006C7EA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:rsidR="00D77181" w:rsidRPr="00281173" w:rsidRDefault="00D77181" w:rsidP="006C7EA0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77181" w:rsidRDefault="00D77181" w:rsidP="006C7EA0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D77181" w:rsidRDefault="00D77181" w:rsidP="006C7EA0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:rsidR="00D77181" w:rsidRPr="00D3154A" w:rsidRDefault="00D77181" w:rsidP="006C7EA0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lastRenderedPageBreak/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D77181" w:rsidRPr="00FB2759" w:rsidRDefault="00D77181" w:rsidP="006C7EA0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D77181" w:rsidRPr="00D3154A" w:rsidRDefault="00D77181" w:rsidP="00F13B1D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9522AB">
              <w:t xml:space="preserve">Інформація приймається до 17 год 00 хв </w:t>
            </w:r>
            <w:r w:rsidR="00F13B1D">
              <w:t>16</w:t>
            </w:r>
            <w:r w:rsidRPr="009522AB">
              <w:t xml:space="preserve"> </w:t>
            </w:r>
            <w:r w:rsidR="00712A29">
              <w:t>лютого</w:t>
            </w:r>
            <w:r w:rsidRPr="009522AB">
              <w:t xml:space="preserve">                     2022 року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27" w:type="pct"/>
          </w:tcPr>
          <w:p w:rsidR="00D77181" w:rsidRPr="00ED5991" w:rsidRDefault="00D77181" w:rsidP="006C7EA0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7181" w:rsidRDefault="00D77181" w:rsidP="006C7EA0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27" w:type="pct"/>
          </w:tcPr>
          <w:p w:rsidR="00D77181" w:rsidRPr="00D3154A" w:rsidRDefault="00F13B1D" w:rsidP="006C7EA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D77181" w:rsidRPr="009522AB">
              <w:rPr>
                <w:sz w:val="24"/>
                <w:szCs w:val="24"/>
              </w:rPr>
              <w:t xml:space="preserve"> лютого 2022 року о 10 год 00 хв.</w:t>
            </w:r>
          </w:p>
          <w:p w:rsidR="00D77181" w:rsidRDefault="00D77181" w:rsidP="006C7E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D77181" w:rsidRDefault="00D77181" w:rsidP="006C7E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77181" w:rsidRPr="00D3154A" w:rsidRDefault="00D77181" w:rsidP="006C7E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>(платформа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CD6C39">
              <w:rPr>
                <w:rFonts w:cs="Times New Roman"/>
                <w:bCs/>
                <w:sz w:val="24"/>
                <w:szCs w:val="24"/>
              </w:rPr>
              <w:t xml:space="preserve">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D77181" w:rsidRDefault="00D77181" w:rsidP="006C7EA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77181" w:rsidRDefault="00D77181" w:rsidP="006C7EA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77181" w:rsidRDefault="00D77181" w:rsidP="006C7EA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77181" w:rsidRPr="00D3154A" w:rsidRDefault="00D77181" w:rsidP="006C7EA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D77181" w:rsidRPr="00D3154A" w:rsidRDefault="00D77181" w:rsidP="006C7EA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D77181" w:rsidRPr="00D3154A" w:rsidRDefault="00D77181" w:rsidP="006C7EA0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27" w:type="pct"/>
          </w:tcPr>
          <w:p w:rsidR="00D77181" w:rsidRPr="00ED5991" w:rsidRDefault="00712A29" w:rsidP="00712A29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 Наталія Миколаї</w:t>
            </w:r>
            <w:r w:rsidR="00D77181"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="00D77181" w:rsidRPr="00F679DA">
              <w:rPr>
                <w:sz w:val="24"/>
                <w:szCs w:val="24"/>
              </w:rPr>
              <w:t>тел</w:t>
            </w:r>
            <w:proofErr w:type="spellEnd"/>
            <w:r w:rsidR="00D77181"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="00D77181"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="00D77181"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="00D77181" w:rsidRPr="00F679DA">
              <w:rPr>
                <w:sz w:val="24"/>
                <w:szCs w:val="24"/>
              </w:rPr>
              <w:t>@</w:t>
            </w:r>
            <w:proofErr w:type="spellStart"/>
            <w:r w:rsidR="00D77181"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="00D77181" w:rsidRPr="00F679DA">
              <w:rPr>
                <w:sz w:val="24"/>
                <w:szCs w:val="24"/>
              </w:rPr>
              <w:t>.</w:t>
            </w:r>
            <w:proofErr w:type="spellStart"/>
            <w:r w:rsidR="00D77181"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D77181" w:rsidRPr="00F679DA">
              <w:rPr>
                <w:sz w:val="24"/>
                <w:szCs w:val="24"/>
              </w:rPr>
              <w:t>.</w:t>
            </w:r>
            <w:proofErr w:type="spellStart"/>
            <w:r w:rsidR="00D77181"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77181" w:rsidRPr="00ED5991" w:rsidTr="006C7EA0">
        <w:trPr>
          <w:tblCellSpacing w:w="22" w:type="dxa"/>
        </w:trPr>
        <w:tc>
          <w:tcPr>
            <w:tcW w:w="4957" w:type="pct"/>
            <w:gridSpan w:val="3"/>
          </w:tcPr>
          <w:p w:rsidR="00D77181" w:rsidRPr="00DA0AC7" w:rsidRDefault="00D77181" w:rsidP="006C7EA0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27" w:type="pct"/>
          </w:tcPr>
          <w:p w:rsidR="00D77181" w:rsidRPr="00DA0AC7" w:rsidRDefault="00D77181" w:rsidP="006C7E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27" w:type="pct"/>
          </w:tcPr>
          <w:p w:rsidR="00D77181" w:rsidRPr="00DA0AC7" w:rsidRDefault="00D77181" w:rsidP="006C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0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27" w:type="pct"/>
          </w:tcPr>
          <w:p w:rsidR="00D77181" w:rsidRPr="00DA0AC7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27" w:type="pct"/>
          </w:tcPr>
          <w:p w:rsidR="00D77181" w:rsidRPr="00DA0AC7" w:rsidRDefault="00D77181" w:rsidP="006C7EA0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D77181" w:rsidRPr="007A6CCE" w:rsidRDefault="00D77181" w:rsidP="006C7EA0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27" w:type="pct"/>
          </w:tcPr>
          <w:p w:rsidR="00D77181" w:rsidRPr="007A6CCE" w:rsidRDefault="00D77181" w:rsidP="006C7EA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1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D77181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181" w:rsidRPr="007A6CCE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18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1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D77181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D77181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4957" w:type="pct"/>
            <w:gridSpan w:val="3"/>
          </w:tcPr>
          <w:p w:rsidR="00D77181" w:rsidRPr="00ED5991" w:rsidRDefault="00D77181" w:rsidP="006C7EA0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909" w:type="pct"/>
            <w:gridSpan w:val="2"/>
          </w:tcPr>
          <w:p w:rsidR="00D77181" w:rsidRPr="00ED5991" w:rsidRDefault="00D77181" w:rsidP="006C7EA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27" w:type="pct"/>
          </w:tcPr>
          <w:p w:rsidR="00D77181" w:rsidRPr="00ED5991" w:rsidRDefault="00D77181" w:rsidP="006C7EA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27" w:type="pct"/>
          </w:tcPr>
          <w:p w:rsidR="00D77181" w:rsidRPr="00E42A3F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181" w:rsidRPr="00ED5991" w:rsidRDefault="00D77181" w:rsidP="006C7EA0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D77181" w:rsidRPr="00ED3784" w:rsidRDefault="00D77181" w:rsidP="006C7EA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:rsidR="00D77181" w:rsidRPr="00ED5991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27" w:type="pct"/>
            <w:shd w:val="clear" w:color="auto" w:fill="auto"/>
          </w:tcPr>
          <w:p w:rsidR="00D77181" w:rsidRPr="00345704" w:rsidRDefault="00D77181" w:rsidP="006C7EA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5704">
              <w:rPr>
                <w:sz w:val="24"/>
                <w:szCs w:val="24"/>
                <w:lang w:eastAsia="ru-RU"/>
              </w:rPr>
              <w:t>Знання:</w:t>
            </w:r>
          </w:p>
          <w:p w:rsidR="00D77181" w:rsidRPr="001D6025" w:rsidRDefault="00D77181" w:rsidP="006C7EA0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звернення громадян”;</w:t>
            </w:r>
          </w:p>
          <w:p w:rsidR="00D77181" w:rsidRPr="001D6025" w:rsidRDefault="00D77181" w:rsidP="006C7EA0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доступ до публічної інформації”;</w:t>
            </w:r>
          </w:p>
          <w:p w:rsidR="00D77181" w:rsidRPr="001D6025" w:rsidRDefault="00D77181" w:rsidP="006C7EA0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державні фінансові гарантії медичного обслуговування населення”;</w:t>
            </w:r>
          </w:p>
          <w:p w:rsidR="00D77181" w:rsidRPr="001D6025" w:rsidRDefault="00D77181" w:rsidP="006C7EA0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захист персональних даних”;</w:t>
            </w:r>
          </w:p>
          <w:p w:rsidR="00D77181" w:rsidRPr="001D6025" w:rsidRDefault="00D77181" w:rsidP="006C7EA0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електронні документи та електронний документообіг”;</w:t>
            </w:r>
          </w:p>
          <w:p w:rsidR="00D77181" w:rsidRPr="00345704" w:rsidRDefault="00D77181" w:rsidP="006C7EA0">
            <w:pPr>
              <w:shd w:val="clear" w:color="auto" w:fill="FFFFFF"/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Положення про Національну службу здоров’я України, затверджен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1D6025">
              <w:rPr>
                <w:sz w:val="24"/>
                <w:szCs w:val="24"/>
                <w:lang w:eastAsia="ru-RU"/>
              </w:rPr>
              <w:t xml:space="preserve"> постановою Кабінету Міністрі</w:t>
            </w:r>
            <w:r>
              <w:rPr>
                <w:sz w:val="24"/>
                <w:szCs w:val="24"/>
                <w:lang w:eastAsia="ru-RU"/>
              </w:rPr>
              <w:t xml:space="preserve">в України </w:t>
            </w:r>
            <w:r>
              <w:rPr>
                <w:sz w:val="24"/>
                <w:szCs w:val="24"/>
                <w:lang w:val="en-US"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>від 27.12.2017 № 1101</w:t>
            </w:r>
          </w:p>
        </w:tc>
      </w:tr>
      <w:tr w:rsidR="00D77181" w:rsidRPr="00ED5991" w:rsidTr="006C7EA0">
        <w:trPr>
          <w:tblCellSpacing w:w="22" w:type="dxa"/>
        </w:trPr>
        <w:tc>
          <w:tcPr>
            <w:tcW w:w="157" w:type="pct"/>
          </w:tcPr>
          <w:p w:rsidR="00D77181" w:rsidRPr="00ED5991" w:rsidRDefault="00D77181" w:rsidP="006C7EA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pct"/>
            <w:shd w:val="clear" w:color="auto" w:fill="auto"/>
          </w:tcPr>
          <w:p w:rsidR="00D77181" w:rsidRPr="00AA69B5" w:rsidRDefault="00D77181" w:rsidP="006C7EA0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A69B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>
              <w:rPr>
                <w:sz w:val="24"/>
                <w:szCs w:val="24"/>
              </w:rPr>
              <w:t>комунікації діяльності центральних органів виконавчої влади</w:t>
            </w:r>
          </w:p>
        </w:tc>
        <w:tc>
          <w:tcPr>
            <w:tcW w:w="3027" w:type="pct"/>
            <w:shd w:val="clear" w:color="auto" w:fill="auto"/>
          </w:tcPr>
          <w:p w:rsidR="00D77181" w:rsidRPr="00E34EE3" w:rsidRDefault="00712A29" w:rsidP="006C7EA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участі у здійсненні організаційного та інформаційно-аналітичного забезпечення співпраці НСЗУ з підрозділами Верховної Ради України, депутатськими фракціями та групами, народними депутатами України, </w:t>
            </w:r>
            <w:r>
              <w:rPr>
                <w:sz w:val="24"/>
                <w:szCs w:val="24"/>
              </w:rPr>
              <w:lastRenderedPageBreak/>
              <w:t>Кабінетом Міністрів України, центральними органами виконавчої влади, органами державної влади та органами місцевого самоврядування, державними установами та громадськими організаціями щодо реалізації програми медичних гарантій та діяльності НСЗУ</w:t>
            </w:r>
          </w:p>
        </w:tc>
      </w:tr>
    </w:tbl>
    <w:p w:rsidR="00D77181" w:rsidRPr="00ED5991" w:rsidRDefault="00D77181" w:rsidP="00D77181">
      <w:pPr>
        <w:spacing w:line="240" w:lineRule="auto"/>
      </w:pPr>
    </w:p>
    <w:p w:rsidR="00D77181" w:rsidRDefault="00D77181" w:rsidP="00D77181"/>
    <w:p w:rsidR="00D77181" w:rsidRDefault="00D77181" w:rsidP="00D77181"/>
    <w:p w:rsidR="00D465EF" w:rsidRDefault="00F13B1D"/>
    <w:sectPr w:rsidR="00D465EF" w:rsidSect="002E593F">
      <w:pgSz w:w="11906" w:h="16838"/>
      <w:pgMar w:top="568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1"/>
    <w:rsid w:val="001A4E01"/>
    <w:rsid w:val="002569A9"/>
    <w:rsid w:val="00655AC2"/>
    <w:rsid w:val="00712A29"/>
    <w:rsid w:val="008915B6"/>
    <w:rsid w:val="00A30C17"/>
    <w:rsid w:val="00B725A4"/>
    <w:rsid w:val="00D77181"/>
    <w:rsid w:val="00EF2802"/>
    <w:rsid w:val="00F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8FC1"/>
  <w15:chartTrackingRefBased/>
  <w15:docId w15:val="{0B9C7535-D8C7-4250-9D46-824483E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81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77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77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D77181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D77181"/>
  </w:style>
  <w:style w:type="paragraph" w:customStyle="1" w:styleId="rvps14">
    <w:name w:val="rvps14"/>
    <w:basedOn w:val="a"/>
    <w:uiPriority w:val="99"/>
    <w:rsid w:val="00D7718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D77181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A4E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6297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3</cp:revision>
  <cp:lastPrinted>2022-02-07T07:25:00Z</cp:lastPrinted>
  <dcterms:created xsi:type="dcterms:W3CDTF">2022-02-04T16:37:00Z</dcterms:created>
  <dcterms:modified xsi:type="dcterms:W3CDTF">2022-02-07T17:10:00Z</dcterms:modified>
</cp:coreProperties>
</file>