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8F3B93" w:rsidRPr="00ED5991" w14:paraId="69CBDBA3" w14:textId="77777777" w:rsidTr="001333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6EA897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</w:t>
            </w:r>
            <w:r w:rsidR="00BB0B5B">
              <w:rPr>
                <w:color w:val="000000"/>
                <w:sz w:val="24"/>
                <w:szCs w:val="24"/>
              </w:rPr>
              <w:t xml:space="preserve"> </w:t>
            </w:r>
            <w:r w:rsidR="00DB0A67">
              <w:rPr>
                <w:color w:val="000000"/>
                <w:sz w:val="24"/>
                <w:szCs w:val="24"/>
              </w:rPr>
              <w:t>8</w:t>
            </w:r>
          </w:p>
          <w:p w14:paraId="5446AD07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14:paraId="3668CF45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14:paraId="6DE448DB" w14:textId="6FD35F56" w:rsidR="008F3B93" w:rsidRPr="00ED5991" w:rsidRDefault="004007C3" w:rsidP="00080CF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80CF6">
              <w:rPr>
                <w:color w:val="000000"/>
                <w:sz w:val="24"/>
                <w:szCs w:val="24"/>
              </w:rPr>
              <w:t xml:space="preserve">від </w:t>
            </w:r>
            <w:r w:rsidR="00080CF6" w:rsidRPr="00080CF6">
              <w:rPr>
                <w:color w:val="000000"/>
                <w:sz w:val="24"/>
                <w:szCs w:val="24"/>
              </w:rPr>
              <w:t>10</w:t>
            </w:r>
            <w:r w:rsidRPr="00080CF6">
              <w:rPr>
                <w:color w:val="000000"/>
                <w:sz w:val="24"/>
                <w:szCs w:val="24"/>
              </w:rPr>
              <w:t>.</w:t>
            </w:r>
            <w:r w:rsidR="00080CF6" w:rsidRPr="00080CF6">
              <w:rPr>
                <w:color w:val="000000"/>
                <w:sz w:val="24"/>
                <w:szCs w:val="24"/>
              </w:rPr>
              <w:t>11</w:t>
            </w:r>
            <w:r w:rsidRPr="00080CF6">
              <w:rPr>
                <w:color w:val="000000"/>
                <w:sz w:val="24"/>
                <w:szCs w:val="24"/>
              </w:rPr>
              <w:t>.</w:t>
            </w:r>
            <w:r w:rsidRPr="00080CF6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080CF6">
              <w:rPr>
                <w:sz w:val="24"/>
                <w:szCs w:val="24"/>
              </w:rPr>
              <w:t xml:space="preserve">№ </w:t>
            </w:r>
            <w:r w:rsidR="00080CF6" w:rsidRPr="00080CF6">
              <w:rPr>
                <w:sz w:val="24"/>
                <w:szCs w:val="24"/>
              </w:rPr>
              <w:t>777</w:t>
            </w:r>
            <w:r w:rsidRPr="00080CF6">
              <w:rPr>
                <w:sz w:val="24"/>
                <w:szCs w:val="24"/>
              </w:rPr>
              <w:t xml:space="preserve"> - к</w:t>
            </w:r>
          </w:p>
        </w:tc>
      </w:tr>
    </w:tbl>
    <w:p w14:paraId="4CB5F393" w14:textId="77777777" w:rsidR="008F3B93" w:rsidRPr="00ED5991" w:rsidRDefault="008F3B93" w:rsidP="008F3B9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7B4E35CD" w14:textId="77777777" w:rsidR="008F3B93" w:rsidRPr="00EC6E74" w:rsidRDefault="008F3B93" w:rsidP="00DB0A67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0272ECCB" w14:textId="77777777" w:rsidR="008F3B93" w:rsidRPr="00EC6E74" w:rsidRDefault="008F3B93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14:paraId="0DF2C9D8" w14:textId="77777777" w:rsidR="008F3B93" w:rsidRPr="00DB0A67" w:rsidRDefault="00DB0A67" w:rsidP="00DB0A67">
      <w:pPr>
        <w:jc w:val="center"/>
        <w:outlineLvl w:val="2"/>
        <w:rPr>
          <w:rFonts w:cs="Times New Roman"/>
          <w:b/>
          <w:bCs/>
          <w:sz w:val="24"/>
          <w:szCs w:val="24"/>
          <w:lang w:eastAsia="ru-RU"/>
        </w:rPr>
      </w:pPr>
      <w:r w:rsidRPr="00DB0A67">
        <w:rPr>
          <w:sz w:val="24"/>
          <w:szCs w:val="24"/>
        </w:rPr>
        <w:t>головного спеціаліста відділу клієнтської підтримки управління інформаційно-довідкової служби Департаменту комунікацій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630"/>
        <w:gridCol w:w="6190"/>
      </w:tblGrid>
      <w:tr w:rsidR="008F3B93" w:rsidRPr="00ED5991" w14:paraId="5212E1FF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36360963" w14:textId="77777777" w:rsidR="008F3B93" w:rsidRPr="00ED5991" w:rsidRDefault="008F3B93" w:rsidP="0013339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DB0A67" w:rsidRPr="00ED5991" w14:paraId="41D0186A" w14:textId="77777777" w:rsidTr="00E66C27">
        <w:trPr>
          <w:tblCellSpacing w:w="22" w:type="dxa"/>
        </w:trPr>
        <w:tc>
          <w:tcPr>
            <w:tcW w:w="1930" w:type="pct"/>
            <w:gridSpan w:val="2"/>
          </w:tcPr>
          <w:p w14:paraId="3974D4F8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05" w:type="pct"/>
            <w:shd w:val="clear" w:color="auto" w:fill="auto"/>
          </w:tcPr>
          <w:p w14:paraId="521B060F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343CF6">
              <w:rPr>
                <w:sz w:val="24"/>
                <w:szCs w:val="24"/>
              </w:rPr>
              <w:t>дійснює інформаційно-консультативну та сервісну підтримку з надання інформації щодо діяльності НС</w:t>
            </w:r>
            <w:r>
              <w:rPr>
                <w:sz w:val="24"/>
                <w:szCs w:val="24"/>
              </w:rPr>
              <w:t>ЗУ та з інших пов’язаних питань;</w:t>
            </w:r>
          </w:p>
          <w:p w14:paraId="71C450BA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343CF6">
              <w:rPr>
                <w:sz w:val="24"/>
                <w:szCs w:val="24"/>
              </w:rPr>
              <w:t>бирає інформацію щодо практичних результатів діяльності НСЗУ та з інших пов’язаних питань з мето</w:t>
            </w:r>
            <w:r>
              <w:rPr>
                <w:sz w:val="24"/>
                <w:szCs w:val="24"/>
              </w:rPr>
              <w:t>ю здійснення подальшого аналізу;</w:t>
            </w:r>
          </w:p>
          <w:p w14:paraId="1359E343" w14:textId="15776FB7" w:rsidR="00DB0A67" w:rsidRPr="00343CF6" w:rsidRDefault="00080CF6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DB0A67">
              <w:rPr>
                <w:sz w:val="24"/>
                <w:szCs w:val="24"/>
              </w:rPr>
              <w:t>б</w:t>
            </w:r>
            <w:r w:rsidR="00DB0A67" w:rsidRPr="00343CF6">
              <w:rPr>
                <w:sz w:val="24"/>
                <w:szCs w:val="24"/>
              </w:rPr>
              <w:t>ере участь в інформаційному супрово</w:t>
            </w:r>
            <w:r w:rsidR="00DB0A67">
              <w:rPr>
                <w:sz w:val="24"/>
                <w:szCs w:val="24"/>
              </w:rPr>
              <w:t>ді комунікаційних кампаній НСЗУ;</w:t>
            </w:r>
          </w:p>
          <w:p w14:paraId="7A704632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343CF6">
              <w:rPr>
                <w:sz w:val="24"/>
                <w:szCs w:val="24"/>
              </w:rPr>
              <w:t>дійснює прийом, реєстрацію, класифікацію та збереження усіх звернень, що надходять до</w:t>
            </w:r>
            <w:r>
              <w:rPr>
                <w:sz w:val="24"/>
                <w:szCs w:val="24"/>
              </w:rPr>
              <w:t xml:space="preserve"> інформаційно-довідкової служби;</w:t>
            </w:r>
          </w:p>
          <w:p w14:paraId="4041E998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343CF6">
              <w:rPr>
                <w:sz w:val="24"/>
                <w:szCs w:val="24"/>
              </w:rPr>
              <w:t>абезпечує ідентифікацію запитувачів НСЗУ та їх інформування щодо діяльності НС</w:t>
            </w:r>
            <w:r>
              <w:rPr>
                <w:sz w:val="24"/>
                <w:szCs w:val="24"/>
              </w:rPr>
              <w:t>ЗУ та з інших пов’язаних питань;</w:t>
            </w:r>
          </w:p>
          <w:p w14:paraId="3BAB48C1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343CF6">
              <w:rPr>
                <w:sz w:val="24"/>
                <w:szCs w:val="24"/>
              </w:rPr>
              <w:t>иконує первинну обробку звернень громадян та передає їх для подальшого опрацювання компетентним структурним підрозділам апарату НСЗУ відповідно до вимог Закону У</w:t>
            </w:r>
            <w:r>
              <w:rPr>
                <w:sz w:val="24"/>
                <w:szCs w:val="24"/>
              </w:rPr>
              <w:t>країни “Про звернення громадян”;</w:t>
            </w:r>
          </w:p>
          <w:p w14:paraId="3512FA77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343CF6">
              <w:rPr>
                <w:sz w:val="24"/>
                <w:szCs w:val="24"/>
              </w:rPr>
              <w:t xml:space="preserve">адає відповіді на звернення, що не </w:t>
            </w:r>
            <w:r>
              <w:rPr>
                <w:sz w:val="24"/>
                <w:szCs w:val="24"/>
              </w:rPr>
              <w:t>потребують додаткового вивчення;</w:t>
            </w:r>
          </w:p>
          <w:p w14:paraId="341F85B7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343CF6">
              <w:rPr>
                <w:sz w:val="24"/>
                <w:szCs w:val="24"/>
              </w:rPr>
              <w:t>дійснює зворотній зв’язок (вихідний дзвінок) у випадках:</w:t>
            </w:r>
          </w:p>
          <w:p w14:paraId="38599932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343CF6">
              <w:rPr>
                <w:sz w:val="24"/>
                <w:szCs w:val="24"/>
              </w:rPr>
              <w:t>a- запиту на зворотній зв’язок запитувачем;</w:t>
            </w:r>
          </w:p>
          <w:p w14:paraId="6056D33A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343CF6">
              <w:rPr>
                <w:sz w:val="24"/>
                <w:szCs w:val="24"/>
              </w:rPr>
              <w:t>b- необхідності додаткового часу для уточнення інформації з метою надання відповіді належної якості;</w:t>
            </w:r>
          </w:p>
          <w:p w14:paraId="7DF23D85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343CF6">
              <w:rPr>
                <w:sz w:val="24"/>
                <w:szCs w:val="24"/>
              </w:rPr>
              <w:t>c- неможливості переведення дзвінка за належністю на відповідального працівника або структурний підрозділ апарату НСЗУ.</w:t>
            </w:r>
          </w:p>
          <w:p w14:paraId="512F1545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343CF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343CF6">
              <w:rPr>
                <w:sz w:val="24"/>
                <w:szCs w:val="24"/>
              </w:rPr>
              <w:t xml:space="preserve"> межах компетенції організовує роботу для подальшого розгляду та надання відп</w:t>
            </w:r>
            <w:r>
              <w:rPr>
                <w:sz w:val="24"/>
                <w:szCs w:val="24"/>
              </w:rPr>
              <w:t>овідей на звернення;</w:t>
            </w:r>
          </w:p>
          <w:p w14:paraId="164FDEF2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343CF6">
              <w:rPr>
                <w:sz w:val="24"/>
                <w:szCs w:val="24"/>
              </w:rPr>
              <w:t>дійснює підтримку належного рівня якості сервісного та інформаційно-довідкового супроводу.</w:t>
            </w:r>
          </w:p>
          <w:p w14:paraId="1128AC74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343CF6">
              <w:rPr>
                <w:sz w:val="24"/>
                <w:szCs w:val="24"/>
              </w:rPr>
              <w:t xml:space="preserve">озробляє проекти документів організаційно-розпорядчого характеру з питань, що </w:t>
            </w:r>
            <w:r>
              <w:rPr>
                <w:sz w:val="24"/>
                <w:szCs w:val="24"/>
              </w:rPr>
              <w:t>належать до компетенції відділу;</w:t>
            </w:r>
          </w:p>
          <w:p w14:paraId="606C9D01" w14:textId="77777777" w:rsidR="00DB0A67" w:rsidRPr="00343CF6" w:rsidRDefault="00DB0A67" w:rsidP="00DB0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343CF6">
              <w:rPr>
                <w:sz w:val="24"/>
                <w:szCs w:val="24"/>
              </w:rPr>
              <w:t xml:space="preserve">ере участь у розгляді звернень громадян, запитів на отримання публічної інформації, звернень та запитів адвокатів і народних депутатів України, звернень 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</w:t>
            </w:r>
            <w:r>
              <w:rPr>
                <w:sz w:val="24"/>
                <w:szCs w:val="24"/>
              </w:rPr>
              <w:t>належать до компетенції відділу</w:t>
            </w:r>
          </w:p>
        </w:tc>
      </w:tr>
      <w:tr w:rsidR="00DB0A67" w:rsidRPr="00ED5991" w14:paraId="70289805" w14:textId="77777777" w:rsidTr="00E66C27">
        <w:trPr>
          <w:tblCellSpacing w:w="22" w:type="dxa"/>
        </w:trPr>
        <w:tc>
          <w:tcPr>
            <w:tcW w:w="1930" w:type="pct"/>
            <w:gridSpan w:val="2"/>
          </w:tcPr>
          <w:p w14:paraId="6745674F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05" w:type="pct"/>
          </w:tcPr>
          <w:p w14:paraId="6C992281" w14:textId="77777777" w:rsidR="00DB0A67" w:rsidRPr="00D91231" w:rsidRDefault="00DB0A67" w:rsidP="00DB0A6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14:paraId="49CDA2C7" w14:textId="77777777" w:rsidR="00DB0A67" w:rsidRDefault="00DB0A67" w:rsidP="00DB0A6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70EA8621" w14:textId="77777777" w:rsidR="00DB0A67" w:rsidRPr="00FD11AB" w:rsidRDefault="00DB0A67" w:rsidP="00DB0A6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DB0A67" w:rsidRPr="00ED5991" w14:paraId="17EDC082" w14:textId="77777777" w:rsidTr="00E66C27">
        <w:trPr>
          <w:tblCellSpacing w:w="22" w:type="dxa"/>
        </w:trPr>
        <w:tc>
          <w:tcPr>
            <w:tcW w:w="1930" w:type="pct"/>
            <w:gridSpan w:val="2"/>
          </w:tcPr>
          <w:p w14:paraId="605CF7B8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05" w:type="pct"/>
          </w:tcPr>
          <w:p w14:paraId="69982A14" w14:textId="77777777" w:rsidR="00DB0A67" w:rsidRDefault="00DB0A67" w:rsidP="00DB0A6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0D93321C" w14:textId="77777777" w:rsidR="00DB0A67" w:rsidRDefault="00DB0A67" w:rsidP="00DB0A6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14:paraId="62F624C7" w14:textId="77777777" w:rsidR="00DB0A67" w:rsidRPr="00ED5991" w:rsidRDefault="00DB0A67" w:rsidP="00DB0A6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B0A67" w:rsidRPr="00ED5991" w14:paraId="3F838155" w14:textId="77777777" w:rsidTr="00E66C27">
        <w:trPr>
          <w:tblCellSpacing w:w="22" w:type="dxa"/>
        </w:trPr>
        <w:tc>
          <w:tcPr>
            <w:tcW w:w="1930" w:type="pct"/>
            <w:gridSpan w:val="2"/>
          </w:tcPr>
          <w:p w14:paraId="16FF0961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05" w:type="pct"/>
          </w:tcPr>
          <w:p w14:paraId="51179306" w14:textId="77777777" w:rsidR="00DB0A67" w:rsidRPr="00416ED7" w:rsidRDefault="00DB0A67" w:rsidP="00DB0A6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0701D48" w14:textId="77777777" w:rsidR="00DB0A67" w:rsidRPr="00416ED7" w:rsidRDefault="00DB0A67" w:rsidP="00DB0A6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38200D4D" w14:textId="77777777" w:rsidR="00DB0A67" w:rsidRPr="00416ED7" w:rsidRDefault="00DB0A67" w:rsidP="00DB0A6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40AB1B04" w14:textId="77777777" w:rsidR="00DB0A67" w:rsidRPr="00416ED7" w:rsidRDefault="00DB0A67" w:rsidP="00DB0A6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7F382C56" w14:textId="77777777" w:rsidR="00DB0A67" w:rsidRPr="00416ED7" w:rsidRDefault="00DB0A67" w:rsidP="00DB0A6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2909CED0" w14:textId="77777777" w:rsidR="00DB0A67" w:rsidRPr="00416ED7" w:rsidRDefault="00DB0A67" w:rsidP="00DB0A6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784FC6DE" w14:textId="77777777" w:rsidR="00DB0A67" w:rsidRDefault="00DB0A67" w:rsidP="00DB0A6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Закону;</w:t>
            </w:r>
          </w:p>
          <w:p w14:paraId="278D3387" w14:textId="77777777" w:rsidR="00DB0A67" w:rsidRPr="00281173" w:rsidRDefault="00DB0A67" w:rsidP="00DB0A6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6EFE85B3" w14:textId="77777777" w:rsidR="00DB0A67" w:rsidRDefault="00DB0A67" w:rsidP="00DB0A6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355C250E" w14:textId="77777777" w:rsidR="00DB0A67" w:rsidRDefault="00DB0A67" w:rsidP="00DB0A67">
            <w:pPr>
              <w:pStyle w:val="rvps14"/>
              <w:spacing w:before="0" w:beforeAutospacing="0" w:after="0" w:afterAutospacing="0"/>
              <w:ind w:left="180"/>
              <w:jc w:val="both"/>
            </w:pPr>
          </w:p>
          <w:p w14:paraId="2B065BD6" w14:textId="77777777" w:rsidR="00DB0A67" w:rsidRPr="00D3154A" w:rsidRDefault="00DB0A67" w:rsidP="00DB0A67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7EBD4EC3" w14:textId="4A1744A3" w:rsidR="00DB0A67" w:rsidRPr="00D3154A" w:rsidRDefault="00DB0A67" w:rsidP="00080CF6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17</w:t>
            </w:r>
            <w:r>
              <w:t> </w:t>
            </w:r>
            <w:r w:rsidRPr="00685A94">
              <w:t>год 00</w:t>
            </w:r>
            <w:r>
              <w:t> </w:t>
            </w:r>
            <w:r w:rsidRPr="00685A94">
              <w:t xml:space="preserve">хв </w:t>
            </w:r>
            <w:r w:rsidR="00225098" w:rsidRPr="00225098">
              <w:rPr>
                <w:lang w:val="ru-RU"/>
              </w:rPr>
              <w:t>1</w:t>
            </w:r>
            <w:r w:rsidR="00080CF6">
              <w:rPr>
                <w:lang w:val="ru-RU"/>
              </w:rPr>
              <w:t>8</w:t>
            </w:r>
            <w:r w:rsidR="00225098" w:rsidRPr="00225098">
              <w:rPr>
                <w:lang w:val="ru-RU"/>
              </w:rPr>
              <w:t xml:space="preserve"> </w:t>
            </w:r>
            <w:r w:rsidR="00225098">
              <w:t>листопада</w:t>
            </w:r>
            <w:r w:rsidRPr="00685A94">
              <w:t xml:space="preserve">                     2021 року</w:t>
            </w:r>
          </w:p>
        </w:tc>
      </w:tr>
      <w:tr w:rsidR="00DB0A67" w:rsidRPr="00ED5991" w14:paraId="6A0349B5" w14:textId="77777777" w:rsidTr="00E66C27">
        <w:trPr>
          <w:tblCellSpacing w:w="22" w:type="dxa"/>
        </w:trPr>
        <w:tc>
          <w:tcPr>
            <w:tcW w:w="1930" w:type="pct"/>
            <w:gridSpan w:val="2"/>
          </w:tcPr>
          <w:p w14:paraId="33056256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05" w:type="pct"/>
          </w:tcPr>
          <w:p w14:paraId="1CC77616" w14:textId="77777777" w:rsidR="00DB0A67" w:rsidRDefault="00DB0A67" w:rsidP="00DB0A6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</w:t>
            </w:r>
            <w:r w:rsidRPr="00855687">
              <w:rPr>
                <w:sz w:val="24"/>
                <w:szCs w:val="24"/>
              </w:rPr>
              <w:lastRenderedPageBreak/>
              <w:t>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  <w:p w14:paraId="709A4984" w14:textId="704EDED5" w:rsidR="00E66C27" w:rsidRPr="00ED5991" w:rsidRDefault="00E66C27" w:rsidP="00DB0A6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66C27" w:rsidRPr="00ED5991" w14:paraId="3C890D48" w14:textId="77777777" w:rsidTr="00E66C27">
        <w:trPr>
          <w:tblCellSpacing w:w="22" w:type="dxa"/>
        </w:trPr>
        <w:tc>
          <w:tcPr>
            <w:tcW w:w="1930" w:type="pct"/>
            <w:gridSpan w:val="2"/>
          </w:tcPr>
          <w:p w14:paraId="6B5CB900" w14:textId="77777777" w:rsidR="00E66C27" w:rsidRDefault="00E66C27" w:rsidP="00E66C2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5F3229E3" w14:textId="77777777" w:rsidR="00E66C27" w:rsidRDefault="00E66C27" w:rsidP="00E66C2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227DD118" w14:textId="77777777" w:rsidR="00E66C27" w:rsidRDefault="00E66C27" w:rsidP="00E66C2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FCB4136" w14:textId="77777777" w:rsidR="00E66C27" w:rsidRDefault="00E66C27" w:rsidP="00E66C2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9702302" w14:textId="77777777" w:rsidR="00E66C27" w:rsidRDefault="00E66C27" w:rsidP="00E66C2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005D127" w14:textId="77777777" w:rsidR="00E66C27" w:rsidRDefault="00E66C27" w:rsidP="00E66C2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3919700" w14:textId="4DFBCD75" w:rsidR="00E66C27" w:rsidRDefault="00E66C27" w:rsidP="00E66C2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35AA16F" w14:textId="77777777" w:rsidR="00E66C27" w:rsidRDefault="00E66C27" w:rsidP="00E66C2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520E923" w14:textId="06EFEF47" w:rsidR="00E66C27" w:rsidRPr="00ED5991" w:rsidRDefault="00E66C27" w:rsidP="00E66C2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05" w:type="pct"/>
          </w:tcPr>
          <w:p w14:paraId="3DBB2300" w14:textId="77777777" w:rsidR="00E66C27" w:rsidRPr="00D3154A" w:rsidRDefault="00E66C27" w:rsidP="00E66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70B3C">
              <w:rPr>
                <w:sz w:val="24"/>
                <w:szCs w:val="24"/>
              </w:rPr>
              <w:t xml:space="preserve"> листопада 2021 року о 10 год 00 хв.</w:t>
            </w:r>
          </w:p>
          <w:p w14:paraId="6910265B" w14:textId="77777777" w:rsidR="00E66C27" w:rsidRDefault="00E66C27" w:rsidP="00E66C27">
            <w:pPr>
              <w:jc w:val="both"/>
              <w:rPr>
                <w:sz w:val="24"/>
                <w:szCs w:val="24"/>
              </w:rPr>
            </w:pPr>
          </w:p>
          <w:p w14:paraId="4F3A9748" w14:textId="3F097667" w:rsidR="00E66C27" w:rsidRDefault="00E66C27" w:rsidP="00E66C27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15CA8EA8" w14:textId="77777777" w:rsidR="00E66C27" w:rsidRPr="00D3154A" w:rsidRDefault="00E66C27" w:rsidP="00E66C2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14:paraId="16CF9348" w14:textId="77777777" w:rsidR="00E66C27" w:rsidRPr="00D3154A" w:rsidRDefault="00E66C27" w:rsidP="00E66C27">
            <w:pPr>
              <w:jc w:val="both"/>
              <w:rPr>
                <w:sz w:val="24"/>
                <w:szCs w:val="24"/>
              </w:rPr>
            </w:pPr>
          </w:p>
          <w:p w14:paraId="3451F93D" w14:textId="77777777" w:rsidR="00E66C27" w:rsidRDefault="00E66C27" w:rsidP="00E66C2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7D368F5" w14:textId="77777777" w:rsidR="00E66C27" w:rsidRDefault="00E66C27" w:rsidP="00E66C27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14:paraId="146E6A01" w14:textId="77777777" w:rsidR="00E66C27" w:rsidRPr="00D3154A" w:rsidRDefault="00E66C27" w:rsidP="00E66C27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14:paraId="6AE56A86" w14:textId="77777777" w:rsidR="00E66C27" w:rsidRPr="00D3154A" w:rsidRDefault="00E66C27" w:rsidP="00E66C27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37591A33" w14:textId="77777777" w:rsidR="00E66C27" w:rsidRDefault="00E66C27" w:rsidP="00E66C27">
            <w:pPr>
              <w:tabs>
                <w:tab w:val="left" w:pos="78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  <w:p w14:paraId="704C5C97" w14:textId="21EA5F5C" w:rsidR="00E66C27" w:rsidRPr="007A057B" w:rsidRDefault="00E66C27" w:rsidP="00E66C27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A67" w:rsidRPr="00ED5991" w14:paraId="5C59E732" w14:textId="77777777" w:rsidTr="00E66C27">
        <w:trPr>
          <w:tblCellSpacing w:w="22" w:type="dxa"/>
        </w:trPr>
        <w:tc>
          <w:tcPr>
            <w:tcW w:w="1930" w:type="pct"/>
            <w:gridSpan w:val="2"/>
          </w:tcPr>
          <w:p w14:paraId="22A4A8BF" w14:textId="77777777" w:rsidR="00DB0A67" w:rsidRDefault="00DB0A67" w:rsidP="00DB0A67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70CF69E1" w14:textId="469D7BD6" w:rsidR="00E66C27" w:rsidRPr="00ED5991" w:rsidRDefault="00E66C27" w:rsidP="00DB0A67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pct"/>
          </w:tcPr>
          <w:p w14:paraId="601DDE10" w14:textId="77777777" w:rsidR="00DB0A67" w:rsidRPr="00DA0AC7" w:rsidRDefault="00DB0A67" w:rsidP="00DB0A67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A0AC7">
              <w:rPr>
                <w:sz w:val="24"/>
                <w:szCs w:val="24"/>
                <w:lang w:eastAsia="ru-RU"/>
              </w:rPr>
              <w:t xml:space="preserve">Федько Наталія Миколаївна, </w:t>
            </w:r>
            <w:proofErr w:type="spellStart"/>
            <w:r w:rsidRPr="00DA0AC7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A0AC7">
              <w:rPr>
                <w:sz w:val="24"/>
                <w:szCs w:val="24"/>
                <w:lang w:eastAsia="ru-RU"/>
              </w:rPr>
              <w:t xml:space="preserve">. (044) 290-01-18, </w:t>
            </w:r>
          </w:p>
          <w:p w14:paraId="74DCF96E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DA0AC7">
              <w:rPr>
                <w:rFonts w:eastAsia="Calibri"/>
                <w:sz w:val="24"/>
                <w:szCs w:val="24"/>
                <w:lang w:val="en-US"/>
              </w:rPr>
              <w:t>nataliia</w:t>
            </w:r>
            <w:proofErr w:type="spellEnd"/>
            <w:r w:rsidRPr="00DA0AC7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A0AC7">
              <w:rPr>
                <w:rFonts w:eastAsia="Calibri"/>
                <w:sz w:val="24"/>
                <w:szCs w:val="24"/>
              </w:rPr>
              <w:t>fedko</w:t>
            </w:r>
            <w:proofErr w:type="spellEnd"/>
            <w:r w:rsidRPr="00DA0AC7">
              <w:rPr>
                <w:rFonts w:eastAsia="Calibri"/>
                <w:sz w:val="24"/>
                <w:szCs w:val="24"/>
              </w:rPr>
              <w:t>@</w:t>
            </w:r>
            <w:proofErr w:type="spellStart"/>
            <w:r w:rsidRPr="00DA0AC7">
              <w:rPr>
                <w:rFonts w:eastAsia="Calibri"/>
                <w:sz w:val="24"/>
                <w:szCs w:val="24"/>
                <w:lang w:val="en-US"/>
              </w:rPr>
              <w:t>nszu</w:t>
            </w:r>
            <w:proofErr w:type="spellEnd"/>
            <w:r w:rsidRPr="00DA0AC7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A0AC7">
              <w:rPr>
                <w:rFonts w:eastAsia="Calibri"/>
                <w:sz w:val="24"/>
                <w:szCs w:val="24"/>
                <w:lang w:val="en-US"/>
              </w:rPr>
              <w:t>gov</w:t>
            </w:r>
            <w:proofErr w:type="spellEnd"/>
            <w:r w:rsidRPr="00DA0AC7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A0AC7">
              <w:rPr>
                <w:rFonts w:eastAsia="Calibri"/>
                <w:sz w:val="24"/>
                <w:szCs w:val="24"/>
                <w:lang w:val="en-US"/>
              </w:rPr>
              <w:t>ua</w:t>
            </w:r>
            <w:proofErr w:type="spellEnd"/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A67" w:rsidRPr="00ED5991" w14:paraId="3545A522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00075B49" w14:textId="77777777" w:rsidR="00DB0A67" w:rsidRPr="00DA0AC7" w:rsidRDefault="00DB0A67" w:rsidP="00DB0A6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DB0A67" w:rsidRPr="00ED5991" w14:paraId="0C73AECC" w14:textId="77777777" w:rsidTr="00E66C27">
        <w:trPr>
          <w:tblCellSpacing w:w="22" w:type="dxa"/>
        </w:trPr>
        <w:tc>
          <w:tcPr>
            <w:tcW w:w="157" w:type="pct"/>
          </w:tcPr>
          <w:p w14:paraId="4BDCEA3C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2" w:type="pct"/>
          </w:tcPr>
          <w:p w14:paraId="7512E1F3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05" w:type="pct"/>
          </w:tcPr>
          <w:p w14:paraId="353A0DFD" w14:textId="77777777" w:rsidR="00DB0A67" w:rsidRDefault="00DB0A67" w:rsidP="00DB0A6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0732587" w14:textId="2B09E244" w:rsidR="00E66C27" w:rsidRPr="00DA0AC7" w:rsidRDefault="00E66C27" w:rsidP="00DB0A67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0A67" w:rsidRPr="00ED5991" w14:paraId="491A31E1" w14:textId="77777777" w:rsidTr="00E66C27">
        <w:trPr>
          <w:tblCellSpacing w:w="22" w:type="dxa"/>
        </w:trPr>
        <w:tc>
          <w:tcPr>
            <w:tcW w:w="157" w:type="pct"/>
          </w:tcPr>
          <w:p w14:paraId="4D057A3C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2" w:type="pct"/>
          </w:tcPr>
          <w:p w14:paraId="662F3D7D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05" w:type="pct"/>
          </w:tcPr>
          <w:p w14:paraId="3D56E19E" w14:textId="77777777" w:rsidR="00DB0A67" w:rsidRPr="00DA0AC7" w:rsidRDefault="00DB0A67" w:rsidP="00DB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DB0A67" w:rsidRPr="00ED5991" w14:paraId="666C7218" w14:textId="77777777" w:rsidTr="00E66C27">
        <w:trPr>
          <w:tblCellSpacing w:w="22" w:type="dxa"/>
        </w:trPr>
        <w:tc>
          <w:tcPr>
            <w:tcW w:w="157" w:type="pct"/>
          </w:tcPr>
          <w:p w14:paraId="0CF86985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2" w:type="pct"/>
          </w:tcPr>
          <w:p w14:paraId="30F4D28F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05" w:type="pct"/>
          </w:tcPr>
          <w:p w14:paraId="3B3E771D" w14:textId="77777777" w:rsidR="00DB0A67" w:rsidRPr="00DA0AC7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DB0A67" w:rsidRPr="00ED5991" w14:paraId="5C703A65" w14:textId="77777777" w:rsidTr="00E66C27">
        <w:trPr>
          <w:tblCellSpacing w:w="22" w:type="dxa"/>
        </w:trPr>
        <w:tc>
          <w:tcPr>
            <w:tcW w:w="157" w:type="pct"/>
          </w:tcPr>
          <w:p w14:paraId="6961E566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2" w:type="pct"/>
          </w:tcPr>
          <w:p w14:paraId="6BAA5C5C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05" w:type="pct"/>
          </w:tcPr>
          <w:p w14:paraId="01A61B41" w14:textId="0A35A23C" w:rsidR="00482CD5" w:rsidRPr="00DA0AC7" w:rsidRDefault="00DB0A67" w:rsidP="00E66C27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DB0A67" w:rsidRPr="00ED5991" w14:paraId="508975B5" w14:textId="77777777" w:rsidTr="00133394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587D0DDB" w14:textId="77777777" w:rsidR="00DB0A67" w:rsidRPr="007A6CCE" w:rsidRDefault="00DB0A67" w:rsidP="00DB0A6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lastRenderedPageBreak/>
              <w:t>Вимоги до компетентності</w:t>
            </w:r>
          </w:p>
        </w:tc>
      </w:tr>
      <w:tr w:rsidR="00DB0A67" w:rsidRPr="00ED5991" w14:paraId="413A406E" w14:textId="77777777" w:rsidTr="00E66C27">
        <w:trPr>
          <w:tblCellSpacing w:w="22" w:type="dxa"/>
        </w:trPr>
        <w:tc>
          <w:tcPr>
            <w:tcW w:w="1930" w:type="pct"/>
            <w:gridSpan w:val="2"/>
          </w:tcPr>
          <w:p w14:paraId="447570DA" w14:textId="77777777" w:rsidR="00DB0A67" w:rsidRPr="00ED5991" w:rsidRDefault="00DB0A67" w:rsidP="00DB0A6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05" w:type="pct"/>
          </w:tcPr>
          <w:p w14:paraId="68773BB3" w14:textId="77777777" w:rsidR="00DB0A67" w:rsidRPr="007A6CCE" w:rsidRDefault="00DB0A67" w:rsidP="00DB0A6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B0A67" w:rsidRPr="00ED5991" w14:paraId="4654BC81" w14:textId="77777777" w:rsidTr="00E66C27">
        <w:trPr>
          <w:tblCellSpacing w:w="22" w:type="dxa"/>
        </w:trPr>
        <w:tc>
          <w:tcPr>
            <w:tcW w:w="157" w:type="pct"/>
          </w:tcPr>
          <w:p w14:paraId="72C6A635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ED2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9F6" w14:textId="77777777" w:rsidR="00DB0A67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1F58CCE2" w14:textId="77777777" w:rsidR="00DB0A67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2CB8BDC3" w14:textId="77777777" w:rsidR="00DB0A67" w:rsidRPr="007A6CCE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B0A67" w:rsidRPr="00ED5991" w14:paraId="55E0FDF0" w14:textId="77777777" w:rsidTr="00E66C27">
        <w:trPr>
          <w:tblCellSpacing w:w="22" w:type="dxa"/>
        </w:trPr>
        <w:tc>
          <w:tcPr>
            <w:tcW w:w="157" w:type="pct"/>
          </w:tcPr>
          <w:p w14:paraId="3BD07276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B4A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83A" w14:textId="77777777" w:rsidR="00DB0A67" w:rsidRPr="007A6CCE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8ADCAD1" w14:textId="77777777" w:rsidR="00DB0A67" w:rsidRPr="007A6CCE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E4A5D11" w14:textId="77777777" w:rsidR="00DB0A67" w:rsidRPr="007A6CCE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самостійно приймати рішення і виконувати завдання у процесі професійної діяльності</w:t>
            </w:r>
          </w:p>
        </w:tc>
      </w:tr>
      <w:tr w:rsidR="00DB0A67" w:rsidRPr="00ED5991" w14:paraId="7BCFD43F" w14:textId="77777777" w:rsidTr="00E66C27">
        <w:trPr>
          <w:tblCellSpacing w:w="22" w:type="dxa"/>
        </w:trPr>
        <w:tc>
          <w:tcPr>
            <w:tcW w:w="157" w:type="pct"/>
          </w:tcPr>
          <w:p w14:paraId="337AB2D6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B7CA2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1DD" w14:textId="77777777" w:rsidR="00DB0A67" w:rsidRPr="007A6CCE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40F4246" w14:textId="77777777" w:rsidR="00DB0A67" w:rsidRPr="007A6CCE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6E3BFC" w14:textId="77777777" w:rsidR="00DB0A67" w:rsidRPr="007A6CCE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003A78" w14:textId="77777777" w:rsidR="00DB0A67" w:rsidRPr="007A6CCE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DB0A67" w:rsidRPr="00ED5991" w14:paraId="5BA3A97C" w14:textId="77777777" w:rsidTr="00E66C27">
        <w:trPr>
          <w:tblCellSpacing w:w="22" w:type="dxa"/>
        </w:trPr>
        <w:tc>
          <w:tcPr>
            <w:tcW w:w="157" w:type="pct"/>
          </w:tcPr>
          <w:p w14:paraId="6F0E801A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5522B" w14:textId="77777777" w:rsidR="00DB0A67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4AD" w14:textId="77777777" w:rsidR="00DB0A67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14:paraId="24463E83" w14:textId="77777777" w:rsidR="00DB0A67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14:paraId="35D8DD04" w14:textId="77777777" w:rsidR="00DB0A67" w:rsidRDefault="00DB0A67" w:rsidP="00DB0A6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DB0A67" w:rsidRPr="00ED5991" w14:paraId="7F51F033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30A9DB61" w14:textId="77777777" w:rsidR="00DB0A67" w:rsidRPr="00ED5991" w:rsidRDefault="00DB0A67" w:rsidP="00DB0A6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DB0A67" w:rsidRPr="00ED5991" w14:paraId="7BF1A0CA" w14:textId="77777777" w:rsidTr="00E66C27">
        <w:trPr>
          <w:tblCellSpacing w:w="22" w:type="dxa"/>
        </w:trPr>
        <w:tc>
          <w:tcPr>
            <w:tcW w:w="1930" w:type="pct"/>
            <w:gridSpan w:val="2"/>
          </w:tcPr>
          <w:p w14:paraId="0578DE2D" w14:textId="77777777" w:rsidR="00DB0A67" w:rsidRPr="00ED5991" w:rsidRDefault="00DB0A67" w:rsidP="00DB0A6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05" w:type="pct"/>
          </w:tcPr>
          <w:p w14:paraId="08F00B64" w14:textId="77777777" w:rsidR="00DB0A67" w:rsidRPr="00ED5991" w:rsidRDefault="00DB0A67" w:rsidP="00DB0A6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B0A67" w:rsidRPr="00ED5991" w14:paraId="7C953029" w14:textId="77777777" w:rsidTr="00E66C27">
        <w:trPr>
          <w:tblCellSpacing w:w="22" w:type="dxa"/>
        </w:trPr>
        <w:tc>
          <w:tcPr>
            <w:tcW w:w="157" w:type="pct"/>
          </w:tcPr>
          <w:p w14:paraId="7FB25EB0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2" w:type="pct"/>
          </w:tcPr>
          <w:p w14:paraId="78E78922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05" w:type="pct"/>
          </w:tcPr>
          <w:p w14:paraId="6584DFA6" w14:textId="77777777" w:rsidR="00DB0A67" w:rsidRPr="00E42A3F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3584DEB6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60CC2D" w14:textId="77777777" w:rsidR="00DB0A67" w:rsidRPr="00ED5991" w:rsidRDefault="00DB0A67" w:rsidP="00DB0A6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2D85AEF1" w14:textId="77777777" w:rsidR="00DB0A67" w:rsidRPr="00ED3784" w:rsidRDefault="00DB0A67" w:rsidP="00DB0A67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523811" w:rsidRPr="00ED5991" w14:paraId="512FA946" w14:textId="77777777" w:rsidTr="00E66C27">
        <w:trPr>
          <w:tblCellSpacing w:w="22" w:type="dxa"/>
        </w:trPr>
        <w:tc>
          <w:tcPr>
            <w:tcW w:w="157" w:type="pct"/>
          </w:tcPr>
          <w:p w14:paraId="02658238" w14:textId="77777777" w:rsidR="00523811" w:rsidRPr="00ED5991" w:rsidRDefault="00523811" w:rsidP="0052381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2" w:type="pct"/>
            <w:shd w:val="clear" w:color="auto" w:fill="auto"/>
          </w:tcPr>
          <w:p w14:paraId="0B41526C" w14:textId="77777777" w:rsidR="00523811" w:rsidRPr="00ED5991" w:rsidRDefault="00523811" w:rsidP="00523811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05" w:type="pct"/>
            <w:shd w:val="clear" w:color="auto" w:fill="auto"/>
          </w:tcPr>
          <w:p w14:paraId="6403B5ED" w14:textId="77777777" w:rsidR="00523811" w:rsidRPr="006C709F" w:rsidRDefault="00523811" w:rsidP="00523811">
            <w:pPr>
              <w:jc w:val="both"/>
              <w:rPr>
                <w:sz w:val="24"/>
                <w:szCs w:val="24"/>
                <w:lang w:eastAsia="ru-RU"/>
              </w:rPr>
            </w:pPr>
            <w:r w:rsidRPr="006C709F">
              <w:rPr>
                <w:sz w:val="24"/>
                <w:szCs w:val="24"/>
                <w:lang w:eastAsia="ru-RU"/>
              </w:rPr>
              <w:t>Знання:</w:t>
            </w:r>
          </w:p>
          <w:p w14:paraId="7D673ADF" w14:textId="77777777" w:rsidR="00523811" w:rsidRDefault="00523811" w:rsidP="00523811">
            <w:pPr>
              <w:jc w:val="both"/>
              <w:rPr>
                <w:sz w:val="24"/>
                <w:szCs w:val="24"/>
                <w:lang w:eastAsia="ru-RU"/>
              </w:rPr>
            </w:pPr>
            <w:r w:rsidRPr="006C709F">
              <w:rPr>
                <w:sz w:val="24"/>
                <w:szCs w:val="24"/>
                <w:lang w:eastAsia="ru-RU"/>
              </w:rPr>
              <w:t>-</w:t>
            </w:r>
            <w:r w:rsidRPr="006C709F">
              <w:rPr>
                <w:sz w:val="24"/>
                <w:szCs w:val="24"/>
              </w:rPr>
              <w:t> </w:t>
            </w:r>
            <w:r w:rsidRPr="006C709F">
              <w:rPr>
                <w:sz w:val="24"/>
                <w:szCs w:val="24"/>
                <w:lang w:eastAsia="ru-RU"/>
              </w:rPr>
              <w:t>Закону України “Про державні фінансові гарантії медичного обслуговування населення”;</w:t>
            </w:r>
          </w:p>
          <w:p w14:paraId="7C4A829B" w14:textId="77777777" w:rsidR="00523811" w:rsidRPr="00571B72" w:rsidRDefault="00523811" w:rsidP="00523811">
            <w:pPr>
              <w:spacing w:line="240" w:lineRule="auto"/>
              <w:ind w:left="82"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1B72">
              <w:rPr>
                <w:sz w:val="24"/>
                <w:szCs w:val="24"/>
              </w:rPr>
              <w:t xml:space="preserve">Постанови Кабінету Міністрів України від 27.12.2017 </w:t>
            </w:r>
            <w:r w:rsidRPr="00571B72">
              <w:rPr>
                <w:sz w:val="24"/>
                <w:szCs w:val="24"/>
              </w:rPr>
              <w:br/>
              <w:t>№ 1101 “Про утворення Національної служби здоров’я України”;</w:t>
            </w:r>
          </w:p>
          <w:p w14:paraId="6D9C2021" w14:textId="7E4800B4" w:rsidR="00523811" w:rsidRPr="00571B72" w:rsidRDefault="00523811" w:rsidP="00523811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15.02.2021 </w:t>
            </w:r>
            <w:r w:rsidR="00655D07">
              <w:rPr>
                <w:sz w:val="24"/>
                <w:szCs w:val="24"/>
                <w:lang w:eastAsia="ru-RU"/>
              </w:rPr>
              <w:br/>
            </w:r>
            <w:r w:rsidRPr="00571B72">
              <w:rPr>
                <w:sz w:val="24"/>
                <w:szCs w:val="24"/>
                <w:lang w:eastAsia="ru-RU"/>
              </w:rPr>
              <w:t>№ 133 “Деякі питання реалізації програми державних гарантій медичного обслуговування населення у II-IV кварталах 2021 року”</w:t>
            </w:r>
            <w:r w:rsidR="00655D07">
              <w:rPr>
                <w:sz w:val="24"/>
                <w:szCs w:val="24"/>
                <w:lang w:eastAsia="ru-RU"/>
              </w:rPr>
              <w:t>;</w:t>
            </w:r>
          </w:p>
          <w:p w14:paraId="19897E0A" w14:textId="2B4FEFB5" w:rsidR="00523811" w:rsidRPr="00571B72" w:rsidRDefault="00523811" w:rsidP="00523811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>- Наказу МОЗ</w:t>
            </w:r>
            <w:r w:rsidRPr="00571B72">
              <w:rPr>
                <w:sz w:val="24"/>
                <w:szCs w:val="24"/>
              </w:rPr>
              <w:t xml:space="preserve"> України</w:t>
            </w:r>
            <w:r w:rsidRPr="00571B72">
              <w:rPr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</w:t>
            </w:r>
            <w:r w:rsidR="00655D07">
              <w:rPr>
                <w:sz w:val="24"/>
                <w:szCs w:val="24"/>
                <w:lang w:eastAsia="ru-RU"/>
              </w:rPr>
              <w:br/>
            </w:r>
            <w:r w:rsidRPr="00571B72">
              <w:rPr>
                <w:sz w:val="24"/>
                <w:szCs w:val="24"/>
                <w:lang w:eastAsia="ru-RU"/>
              </w:rPr>
              <w:t>21 березня 2018 р. за № 347/31799;</w:t>
            </w:r>
          </w:p>
          <w:p w14:paraId="4AB4F669" w14:textId="77777777" w:rsidR="00523811" w:rsidRPr="00571B72" w:rsidRDefault="00523811" w:rsidP="00523811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>- Наказу МОЗ</w:t>
            </w:r>
            <w:r w:rsidRPr="00571B72">
              <w:rPr>
                <w:sz w:val="24"/>
                <w:szCs w:val="24"/>
              </w:rPr>
              <w:t xml:space="preserve"> України</w:t>
            </w:r>
            <w:r w:rsidRPr="00571B72">
              <w:rPr>
                <w:sz w:val="24"/>
                <w:szCs w:val="24"/>
                <w:lang w:eastAsia="ru-RU"/>
              </w:rPr>
              <w:t xml:space="preserve"> від 19.03.2018 № 504 “Про затвердження Порядку надання первинної медичної </w:t>
            </w:r>
            <w:r w:rsidRPr="00571B72">
              <w:rPr>
                <w:sz w:val="24"/>
                <w:szCs w:val="24"/>
                <w:lang w:eastAsia="ru-RU"/>
              </w:rPr>
              <w:lastRenderedPageBreak/>
              <w:t>допомоги”, зареєстрованого в Міністерстві юстиції України 21 березня  2018 р. за № 348/31800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1B5DFD81" w14:textId="2F883E83" w:rsidR="00523811" w:rsidRPr="00571B72" w:rsidRDefault="00523811" w:rsidP="00523811">
            <w:pPr>
              <w:spacing w:line="240" w:lineRule="auto"/>
              <w:ind w:left="82" w:right="24"/>
              <w:jc w:val="both"/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</w:pPr>
            <w:r w:rsidRPr="00571B72">
              <w:rPr>
                <w:sz w:val="24"/>
                <w:szCs w:val="24"/>
              </w:rPr>
              <w:t xml:space="preserve">- Наказу МОЗ України від 01.06.2021 № 1066 </w:t>
            </w:r>
            <w:r w:rsidRPr="00571B72">
              <w:rPr>
                <w:sz w:val="24"/>
                <w:szCs w:val="24"/>
                <w:lang w:eastAsia="ru-RU"/>
              </w:rPr>
              <w:t>“</w:t>
            </w:r>
            <w:r w:rsidRPr="00571B72">
              <w:rPr>
                <w:sz w:val="24"/>
                <w:szCs w:val="24"/>
              </w:rPr>
              <w:t>Деякі питання формування медичних висновків про тимчасову непрацездатність та проведення їхньої перевірки</w:t>
            </w:r>
            <w:r w:rsidRPr="00571B72">
              <w:rPr>
                <w:sz w:val="24"/>
                <w:szCs w:val="24"/>
                <w:lang w:eastAsia="ru-RU"/>
              </w:rPr>
              <w:t>”</w:t>
            </w:r>
            <w:r w:rsidRPr="00571B72"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  <w:t>,</w:t>
            </w:r>
            <w:r w:rsidRPr="00571B72">
              <w:rPr>
                <w:sz w:val="24"/>
                <w:szCs w:val="24"/>
                <w:lang w:eastAsia="ru-RU"/>
              </w:rPr>
              <w:t xml:space="preserve"> зареєстрованого в Міністерстві юстиції України </w:t>
            </w:r>
            <w:r w:rsidR="00655D07">
              <w:rPr>
                <w:sz w:val="24"/>
                <w:szCs w:val="24"/>
                <w:lang w:eastAsia="ru-RU"/>
              </w:rPr>
              <w:br/>
            </w:r>
            <w:r w:rsidRPr="00571B72">
              <w:rPr>
                <w:sz w:val="24"/>
                <w:szCs w:val="24"/>
                <w:lang w:eastAsia="ru-RU"/>
              </w:rPr>
              <w:t xml:space="preserve">02 червня  2021 р. за </w:t>
            </w:r>
            <w:r w:rsidRPr="00571B72">
              <w:rPr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571B72">
              <w:rPr>
                <w:color w:val="000000" w:themeColor="text1"/>
                <w:spacing w:val="11"/>
                <w:sz w:val="24"/>
                <w:szCs w:val="24"/>
                <w:shd w:val="clear" w:color="auto" w:fill="FFFFFF"/>
              </w:rPr>
              <w:t>728/36350;</w:t>
            </w:r>
          </w:p>
          <w:p w14:paraId="59ACB1D9" w14:textId="34ABB5F7" w:rsidR="00523811" w:rsidRPr="006C709F" w:rsidRDefault="00523811" w:rsidP="00225098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</w:rPr>
              <w:t>-</w:t>
            </w:r>
            <w:r w:rsidR="00655D07">
              <w:rPr>
                <w:sz w:val="24"/>
                <w:szCs w:val="24"/>
              </w:rPr>
              <w:t xml:space="preserve"> </w:t>
            </w:r>
            <w:r w:rsidRPr="00655D07">
              <w:rPr>
                <w:sz w:val="24"/>
                <w:szCs w:val="24"/>
              </w:rPr>
              <w:t xml:space="preserve">Наказу МОЗ України від 28.02.2020 № </w:t>
            </w:r>
            <w:r w:rsidRPr="00C77998">
              <w:rPr>
                <w:color w:val="000000" w:themeColor="text1"/>
                <w:sz w:val="24"/>
                <w:szCs w:val="24"/>
              </w:rPr>
              <w:t xml:space="preserve">586 </w:t>
            </w:r>
            <w:r w:rsidRPr="00655D07">
              <w:rPr>
                <w:sz w:val="24"/>
                <w:szCs w:val="24"/>
                <w:lang w:eastAsia="ru-RU"/>
              </w:rPr>
              <w:t>“</w:t>
            </w:r>
            <w:r w:rsidRPr="00655D07">
              <w:rPr>
                <w:color w:val="000000" w:themeColor="text1"/>
                <w:sz w:val="24"/>
                <w:szCs w:val="24"/>
              </w:rPr>
              <w:t>Про</w:t>
            </w:r>
            <w:r w:rsidRPr="00655D0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5098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затвердження Порядку направлення пацієнтів до закладів охорони здоров'я та фізичних осіб - підприємців, які в установленому законом порядку одержали ліцензію на провадження господарської діяльності з медичної практики та надають медичну допомогу відповідного виду</w:t>
            </w:r>
            <w:r w:rsidRPr="00225098">
              <w:rPr>
                <w:sz w:val="24"/>
                <w:szCs w:val="24"/>
                <w:lang w:eastAsia="ru-RU"/>
              </w:rPr>
              <w:t>”</w:t>
            </w:r>
          </w:p>
        </w:tc>
      </w:tr>
      <w:tr w:rsidR="00523811" w:rsidRPr="00ED5991" w14:paraId="123DB873" w14:textId="77777777" w:rsidTr="00E66C27">
        <w:trPr>
          <w:tblCellSpacing w:w="22" w:type="dxa"/>
        </w:trPr>
        <w:tc>
          <w:tcPr>
            <w:tcW w:w="157" w:type="pct"/>
          </w:tcPr>
          <w:p w14:paraId="2C7DBB4C" w14:textId="77777777" w:rsidR="00523811" w:rsidRPr="00ED5991" w:rsidRDefault="00523811" w:rsidP="0052381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52" w:type="pct"/>
            <w:shd w:val="clear" w:color="auto" w:fill="auto"/>
          </w:tcPr>
          <w:p w14:paraId="6E87166B" w14:textId="77777777" w:rsidR="00523811" w:rsidRDefault="00523811" w:rsidP="00523811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основ комунікації, а також специфіки побудови комунікаційних процесів державних органів, у тому числі кризових комунікацій</w:t>
            </w:r>
          </w:p>
          <w:p w14:paraId="4F73EF78" w14:textId="77777777" w:rsidR="00523811" w:rsidRPr="00776ABE" w:rsidRDefault="00523811" w:rsidP="00523811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pct"/>
            <w:shd w:val="clear" w:color="auto" w:fill="auto"/>
          </w:tcPr>
          <w:p w14:paraId="2DB6BE50" w14:textId="77777777" w:rsidR="00523811" w:rsidRDefault="00523811" w:rsidP="0052381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Ідентифікація, класифікація зацікавлених осіб та забезпечення їх інформування.</w:t>
            </w:r>
          </w:p>
          <w:p w14:paraId="56AFD63B" w14:textId="77777777" w:rsidR="00523811" w:rsidRDefault="00523811" w:rsidP="0052381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Участь у розробці, організації та супроводі комунікаційних кампаній НСЗУ, спрямованих на позиціонування, підвищення обізнаності про діяльність НСЗУ та популяризацію цієї діяльності, формування позитивного іміджу НСЗУ.</w:t>
            </w:r>
          </w:p>
          <w:p w14:paraId="32BA871A" w14:textId="77777777" w:rsidR="00523811" w:rsidRDefault="00523811" w:rsidP="0052381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Забезпечення вибору оптимальних рішень для досягнення максимальної ефективності таких інформаційних компаній НСЗУ.</w:t>
            </w:r>
          </w:p>
          <w:p w14:paraId="38DDB8FA" w14:textId="77777777" w:rsidR="00523811" w:rsidRDefault="00523811" w:rsidP="0052381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Забезпечення комунікації з представниками </w:t>
            </w:r>
            <w:r>
              <w:rPr>
                <w:sz w:val="24"/>
                <w:szCs w:val="24"/>
                <w:lang w:val="ru-RU" w:eastAsia="ru-RU"/>
              </w:rPr>
              <w:t>про</w:t>
            </w:r>
            <w:proofErr w:type="spellStart"/>
            <w:r>
              <w:rPr>
                <w:sz w:val="24"/>
                <w:szCs w:val="24"/>
                <w:lang w:eastAsia="ru-RU"/>
              </w:rPr>
              <w:t>фесійної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спільноти.</w:t>
            </w:r>
          </w:p>
          <w:p w14:paraId="2D0E2211" w14:textId="77777777" w:rsidR="00523811" w:rsidRPr="00776ABE" w:rsidRDefault="00523811" w:rsidP="0052381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Здійснення постійного аналізу суспільно-політичної ситуації у сфері діяльності НСЗУ, прогнозування тенденцій та моніторинг ризиків.</w:t>
            </w:r>
          </w:p>
        </w:tc>
      </w:tr>
    </w:tbl>
    <w:p w14:paraId="64D9D82F" w14:textId="77777777" w:rsidR="008F3B93" w:rsidRPr="00ED5991" w:rsidRDefault="008F3B93" w:rsidP="008F3B93">
      <w:pPr>
        <w:spacing w:line="240" w:lineRule="auto"/>
      </w:pPr>
    </w:p>
    <w:p w14:paraId="14477D0F" w14:textId="77777777" w:rsidR="00D41FE1" w:rsidRDefault="00E66C27"/>
    <w:sectPr w:rsidR="00D41FE1" w:rsidSect="00080CF6">
      <w:pgSz w:w="11906" w:h="16838"/>
      <w:pgMar w:top="426" w:right="426" w:bottom="67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5D3"/>
    <w:multiLevelType w:val="multilevel"/>
    <w:tmpl w:val="9C2CB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512" w:hanging="81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74448D9"/>
    <w:multiLevelType w:val="hybridMultilevel"/>
    <w:tmpl w:val="E9505BD4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82C5E"/>
    <w:multiLevelType w:val="hybridMultilevel"/>
    <w:tmpl w:val="93E410D0"/>
    <w:lvl w:ilvl="0" w:tplc="CF36F990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5A73320B"/>
    <w:multiLevelType w:val="hybridMultilevel"/>
    <w:tmpl w:val="12DE2C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93"/>
    <w:rsid w:val="00000241"/>
    <w:rsid w:val="0003428C"/>
    <w:rsid w:val="00080CF6"/>
    <w:rsid w:val="00215988"/>
    <w:rsid w:val="00225098"/>
    <w:rsid w:val="002336EE"/>
    <w:rsid w:val="003531F7"/>
    <w:rsid w:val="004007C3"/>
    <w:rsid w:val="00482CD5"/>
    <w:rsid w:val="004E32D3"/>
    <w:rsid w:val="00510B01"/>
    <w:rsid w:val="00523811"/>
    <w:rsid w:val="00544C1A"/>
    <w:rsid w:val="00545560"/>
    <w:rsid w:val="00565443"/>
    <w:rsid w:val="005B21A8"/>
    <w:rsid w:val="005D4CA2"/>
    <w:rsid w:val="005E3ED8"/>
    <w:rsid w:val="00655D07"/>
    <w:rsid w:val="007A057B"/>
    <w:rsid w:val="007E55CA"/>
    <w:rsid w:val="008222CB"/>
    <w:rsid w:val="008905F0"/>
    <w:rsid w:val="008F3B93"/>
    <w:rsid w:val="009E0AB0"/>
    <w:rsid w:val="00B21168"/>
    <w:rsid w:val="00B526A0"/>
    <w:rsid w:val="00BB0B5B"/>
    <w:rsid w:val="00BB418D"/>
    <w:rsid w:val="00BC3721"/>
    <w:rsid w:val="00C107C6"/>
    <w:rsid w:val="00C6647C"/>
    <w:rsid w:val="00C77998"/>
    <w:rsid w:val="00D90896"/>
    <w:rsid w:val="00DB0A67"/>
    <w:rsid w:val="00DD4E45"/>
    <w:rsid w:val="00E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E1B1"/>
  <w15:chartTrackingRefBased/>
  <w15:docId w15:val="{898330AD-DE20-4FD2-A7D7-98A4799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93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F3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8F3B93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8F3B93"/>
  </w:style>
  <w:style w:type="paragraph" w:customStyle="1" w:styleId="rvps14">
    <w:name w:val="rvps14"/>
    <w:basedOn w:val="a"/>
    <w:uiPriority w:val="99"/>
    <w:rsid w:val="008F3B9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3B93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8F3B93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5238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31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531F7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31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1F7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1F7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1F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1F7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6763</Words>
  <Characters>3855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12</cp:revision>
  <cp:lastPrinted>2021-05-27T11:46:00Z</cp:lastPrinted>
  <dcterms:created xsi:type="dcterms:W3CDTF">2021-11-08T16:12:00Z</dcterms:created>
  <dcterms:modified xsi:type="dcterms:W3CDTF">2021-11-11T10:42:00Z</dcterms:modified>
</cp:coreProperties>
</file>