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BE45A2" w:rsidRPr="00ED5991" w:rsidTr="000E7C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5A2" w:rsidRPr="00B91378" w:rsidRDefault="004D3DC4" w:rsidP="000E7C9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2</w:t>
            </w:r>
          </w:p>
          <w:p w:rsidR="00BE45A2" w:rsidRPr="00B91378" w:rsidRDefault="00BE45A2" w:rsidP="000E7C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BE45A2" w:rsidRPr="00B91378" w:rsidRDefault="00BE45A2" w:rsidP="000E7C9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BE45A2" w:rsidRPr="00ED5991" w:rsidRDefault="00BE45A2" w:rsidP="003B409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 </w:t>
            </w:r>
            <w:r w:rsidR="003B409D">
              <w:rPr>
                <w:color w:val="000000"/>
                <w:sz w:val="24"/>
                <w:szCs w:val="24"/>
              </w:rPr>
              <w:t>12.01.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>202</w:t>
            </w:r>
            <w:r w:rsidR="00D24A50">
              <w:rPr>
                <w:color w:val="000000"/>
                <w:sz w:val="24"/>
                <w:szCs w:val="24"/>
                <w:lang w:val="ru-RU"/>
              </w:rPr>
              <w:t>2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3B409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BE45A2" w:rsidRPr="00ED5991" w:rsidRDefault="00BE45A2" w:rsidP="00BE45A2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BE45A2" w:rsidRPr="00EC6E74" w:rsidRDefault="00BE45A2" w:rsidP="00BE45A2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BE45A2" w:rsidRPr="00EC6E74" w:rsidRDefault="00BE45A2" w:rsidP="00BE45A2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sz w:val="24"/>
          <w:szCs w:val="24"/>
        </w:rPr>
      </w:pPr>
      <w:r w:rsidRPr="00EC6E74">
        <w:rPr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sz w:val="24"/>
          <w:szCs w:val="24"/>
        </w:rPr>
        <w:t>“</w:t>
      </w:r>
      <w:r w:rsidRPr="00EC6E74">
        <w:rPr>
          <w:bCs/>
          <w:sz w:val="24"/>
          <w:szCs w:val="24"/>
        </w:rPr>
        <w:t>В</w:t>
      </w:r>
      <w:r w:rsidRPr="00EC6E74">
        <w:rPr>
          <w:sz w:val="24"/>
          <w:szCs w:val="24"/>
        </w:rPr>
        <w:t>” –</w:t>
      </w:r>
    </w:p>
    <w:p w:rsidR="00BE45A2" w:rsidRDefault="00BE45A2" w:rsidP="00BE45A2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color w:val="000000"/>
          <w:sz w:val="24"/>
          <w:szCs w:val="24"/>
        </w:rPr>
      </w:pPr>
      <w:r w:rsidRPr="00EB0EB5">
        <w:rPr>
          <w:sz w:val="24"/>
          <w:szCs w:val="24"/>
        </w:rPr>
        <w:t xml:space="preserve">головного спеціаліста </w:t>
      </w:r>
      <w:r w:rsidR="00D24A50">
        <w:rPr>
          <w:sz w:val="24"/>
          <w:szCs w:val="24"/>
        </w:rPr>
        <w:t>відділу технічної підтримки користувачів управління інфраструктури та підтримки Департаменту інформаційних технологій</w:t>
      </w:r>
    </w:p>
    <w:p w:rsidR="00BE45A2" w:rsidRPr="00616A81" w:rsidRDefault="00BE45A2" w:rsidP="00BE45A2">
      <w:pPr>
        <w:spacing w:line="240" w:lineRule="auto"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34"/>
        <w:gridCol w:w="6286"/>
      </w:tblGrid>
      <w:tr w:rsidR="00BE45A2" w:rsidRPr="00ED5991" w:rsidTr="000E7C95">
        <w:trPr>
          <w:tblCellSpacing w:w="22" w:type="dxa"/>
        </w:trPr>
        <w:tc>
          <w:tcPr>
            <w:tcW w:w="4957" w:type="pct"/>
            <w:gridSpan w:val="3"/>
          </w:tcPr>
          <w:p w:rsidR="00BE45A2" w:rsidRPr="00ED5991" w:rsidRDefault="00BE45A2" w:rsidP="000E7C95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2" w:type="pct"/>
            <w:shd w:val="clear" w:color="auto" w:fill="auto"/>
          </w:tcPr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D67D4">
              <w:rPr>
                <w:sz w:val="24"/>
                <w:szCs w:val="24"/>
              </w:rPr>
              <w:t>дійснює технічне обслуговування засобів комп’ютерної техніки, що знаходиться у користуванні працівників апарату НСЗУ (далі – користувачі), інженерної інфраструктури серверних приміщень, здійснює поточну діагностику обладнання на місті експлуатації, організовує відправку до сервісних центрів у разі необхідності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67D4">
              <w:rPr>
                <w:sz w:val="24"/>
                <w:szCs w:val="24"/>
              </w:rPr>
              <w:t>ере участь у підготовці документації щодо придбання та введення в експлуатацію комп’ютерної техніки користувачів, комп’ютерних програм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2D67D4">
              <w:rPr>
                <w:sz w:val="24"/>
                <w:szCs w:val="24"/>
              </w:rPr>
              <w:t>нсталює базові програмні засоби та серверні програми, налаштовує їх та забезпечує функціонування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67D4">
              <w:rPr>
                <w:sz w:val="24"/>
                <w:szCs w:val="24"/>
              </w:rPr>
              <w:t>рганізовує заходи та виконує роботу щодо встановлення, оновлення та підтримки програмного забезпечення на комп’ютерах користувачів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D24A50" w:rsidRPr="002D67D4" w:rsidRDefault="00D24A50" w:rsidP="00D24A50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D67D4">
              <w:rPr>
                <w:sz w:val="24"/>
                <w:szCs w:val="24"/>
              </w:rPr>
              <w:t>дійснює підтримку та розвиток автоматизованих систем:</w:t>
            </w:r>
          </w:p>
          <w:p w:rsidR="00D24A50" w:rsidRPr="002D67D4" w:rsidRDefault="00D24A50" w:rsidP="00D24A50">
            <w:pPr>
              <w:tabs>
                <w:tab w:val="left" w:pos="1276"/>
              </w:tabs>
              <w:spacing w:line="240" w:lineRule="auto"/>
              <w:ind w:right="-335"/>
              <w:rPr>
                <w:sz w:val="24"/>
                <w:szCs w:val="24"/>
              </w:rPr>
            </w:pPr>
            <w:r w:rsidRPr="002D67D4">
              <w:rPr>
                <w:sz w:val="24"/>
                <w:szCs w:val="24"/>
              </w:rPr>
              <w:t>“Центр підтримки користувачів (Service Desk)”;</w:t>
            </w:r>
          </w:p>
          <w:p w:rsidR="00D24A50" w:rsidRPr="002D67D4" w:rsidRDefault="00D24A50" w:rsidP="00D24A50">
            <w:pPr>
              <w:tabs>
                <w:tab w:val="left" w:pos="1276"/>
              </w:tabs>
              <w:spacing w:line="240" w:lineRule="auto"/>
              <w:ind w:right="-335"/>
              <w:rPr>
                <w:sz w:val="24"/>
                <w:szCs w:val="24"/>
              </w:rPr>
            </w:pPr>
            <w:r w:rsidRPr="002D67D4">
              <w:rPr>
                <w:sz w:val="24"/>
                <w:szCs w:val="24"/>
              </w:rPr>
              <w:t>“Облік техніки користувачів (CMDB)”;</w:t>
            </w:r>
          </w:p>
          <w:p w:rsidR="00BE45A2" w:rsidRPr="00D24A50" w:rsidRDefault="00D24A50" w:rsidP="00D24A5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24A50">
              <w:rPr>
                <w:sz w:val="24"/>
                <w:szCs w:val="24"/>
              </w:rPr>
              <w:t>“Управління конфігураціями (SCCM)”</w:t>
            </w:r>
            <w:r w:rsidR="00BE45A2" w:rsidRPr="00D24A50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D67D4">
              <w:rPr>
                <w:sz w:val="24"/>
                <w:szCs w:val="24"/>
              </w:rPr>
              <w:t>дійснює технічну та адміністративну підтримку користувачів дистанційно (в тому числі в телефонному режимі) та на місці експлуатації комп’ютерної техніки користувачів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67D4">
              <w:rPr>
                <w:sz w:val="24"/>
                <w:szCs w:val="24"/>
              </w:rPr>
              <w:t>озробляє та впроваджує інструкції та стандарти використання програмного та апаратного забезпечення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D24A50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D67D4">
              <w:rPr>
                <w:color w:val="000000"/>
                <w:sz w:val="24"/>
                <w:szCs w:val="24"/>
              </w:rPr>
              <w:t>адає методичну, консультативну та практичну допомогу користувачам щодо використання комп’ютерної техніки та базового програмного забезпечення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BE45A2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 w:rsidRPr="00A02201">
              <w:rPr>
                <w:rFonts w:eastAsiaTheme="minorHAnsi"/>
                <w:sz w:val="24"/>
                <w:szCs w:val="24"/>
              </w:rPr>
              <w:t>забезпеч</w:t>
            </w:r>
            <w:r w:rsidR="006F14E5">
              <w:rPr>
                <w:rFonts w:eastAsiaTheme="minorHAnsi"/>
                <w:sz w:val="24"/>
                <w:szCs w:val="24"/>
              </w:rPr>
              <w:t>ує розробку</w:t>
            </w:r>
            <w:r w:rsidRPr="00A02201">
              <w:rPr>
                <w:rFonts w:eastAsiaTheme="minorHAnsi"/>
                <w:sz w:val="24"/>
                <w:szCs w:val="24"/>
              </w:rPr>
              <w:t xml:space="preserve"> та доопрацювання прикладних систем НСЗУ зовнішніми організаціями та підприємствами, контроль цієї розробки</w:t>
            </w:r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D24A50" w:rsidRPr="00653C6B" w:rsidRDefault="006F14E5" w:rsidP="00D24A50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24A50" w:rsidRPr="00653C6B">
              <w:rPr>
                <w:color w:val="000000"/>
                <w:sz w:val="24"/>
                <w:szCs w:val="24"/>
              </w:rPr>
              <w:t xml:space="preserve"> межах компетенції:</w:t>
            </w:r>
          </w:p>
          <w:p w:rsidR="00D24A50" w:rsidRPr="00D24A50" w:rsidRDefault="00D24A50" w:rsidP="00D24A5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4A50">
              <w:rPr>
                <w:color w:val="000000"/>
                <w:sz w:val="24"/>
                <w:szCs w:val="24"/>
              </w:rPr>
              <w:t>надає пропозиції щодо тендерних вимог до програмно-технічних рішень, матеріалів та, за необхідності, методичну допомогу при проведенні торгів щодо закупівлі послуг щодо інформаційно-комунікаційних систем за бюджетні кошти;</w:t>
            </w:r>
          </w:p>
          <w:p w:rsidR="00BE45A2" w:rsidRPr="00A02201" w:rsidRDefault="00D24A50" w:rsidP="00D24A5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24A50">
              <w:rPr>
                <w:color w:val="000000"/>
                <w:sz w:val="24"/>
                <w:szCs w:val="24"/>
              </w:rPr>
              <w:t xml:space="preserve">бере участь у формуванні проектів планів фінансування робіт з інформатизації, підготовці </w:t>
            </w:r>
            <w:r w:rsidRPr="00D24A50">
              <w:rPr>
                <w:color w:val="000000"/>
                <w:sz w:val="24"/>
                <w:szCs w:val="24"/>
              </w:rPr>
              <w:lastRenderedPageBreak/>
              <w:t>документів для проведення оплати виконаних робіт, наданих послуг</w:t>
            </w:r>
            <w:r w:rsidR="00BE45A2">
              <w:rPr>
                <w:rFonts w:eastAsiaTheme="minorHAnsi"/>
                <w:sz w:val="24"/>
                <w:szCs w:val="24"/>
              </w:rPr>
              <w:t xml:space="preserve">; </w:t>
            </w:r>
          </w:p>
          <w:p w:rsidR="00BE45A2" w:rsidRPr="00A02201" w:rsidRDefault="003E4CCD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24A50" w:rsidRPr="00D24A50">
              <w:rPr>
                <w:color w:val="000000"/>
                <w:sz w:val="24"/>
                <w:szCs w:val="24"/>
              </w:rPr>
              <w:t>заємодіє з організаціями, установами, підприємствами з питань забезпечення поточного та технічного обслуговування комп’ютерної техніки користувачів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A02201" w:rsidRDefault="003E4CCD" w:rsidP="00BE45A2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24A50" w:rsidRPr="00D24A50">
              <w:rPr>
                <w:color w:val="000000"/>
                <w:sz w:val="24"/>
                <w:szCs w:val="24"/>
              </w:rPr>
              <w:t>отує, оформлює, погоджує, укладає договори та додаткові угоди, предмет яких належить до компетенції Департаменту, та здійснює контроль за належним їх виконанням</w:t>
            </w:r>
            <w:r w:rsidR="00BE45A2">
              <w:rPr>
                <w:rFonts w:eastAsiaTheme="minorHAnsi"/>
                <w:sz w:val="24"/>
                <w:szCs w:val="24"/>
              </w:rPr>
              <w:t>;</w:t>
            </w:r>
          </w:p>
          <w:p w:rsidR="00BE45A2" w:rsidRPr="00D24A50" w:rsidRDefault="003E4CCD" w:rsidP="00F7481D">
            <w:pPr>
              <w:pStyle w:val="a3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141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  <w:r w:rsidR="00D24A50" w:rsidRPr="00D24A50">
              <w:rPr>
                <w:color w:val="000000"/>
                <w:sz w:val="24"/>
                <w:szCs w:val="24"/>
              </w:rPr>
              <w:t>нформує про необхідність проведення претензійної та позивної роботи у випадку порушення прав та інтересів НСЗУ, виконання або неналежне виконання (порушення) умов договорів шляхом надання доповідної записки та матеріалів, необхідних для ведення претензійної роботи відповідно до встановлено</w:t>
            </w:r>
            <w:r w:rsidR="00F7481D">
              <w:rPr>
                <w:color w:val="000000"/>
                <w:sz w:val="24"/>
                <w:szCs w:val="24"/>
              </w:rPr>
              <w:t>го</w:t>
            </w:r>
            <w:r w:rsidR="00D24A50" w:rsidRPr="00D24A50">
              <w:rPr>
                <w:color w:val="000000"/>
                <w:sz w:val="24"/>
                <w:szCs w:val="24"/>
              </w:rPr>
              <w:t xml:space="preserve"> в НСЗУ порядку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52" w:type="pct"/>
          </w:tcPr>
          <w:p w:rsidR="00BE45A2" w:rsidRPr="00D91231" w:rsidRDefault="00BE45A2" w:rsidP="000E7C95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3E4CCD" w:rsidRPr="003E4CCD">
              <w:t>10</w:t>
            </w:r>
            <w:r w:rsidRPr="00E14126">
              <w:t xml:space="preserve"> </w:t>
            </w:r>
            <w:r w:rsidR="003E4CCD">
              <w:t>2</w:t>
            </w:r>
            <w:r w:rsidRPr="00E14126">
              <w:t>00 грн</w:t>
            </w:r>
            <w:r w:rsidRPr="001E6C65">
              <w:t>;</w:t>
            </w:r>
          </w:p>
          <w:p w:rsidR="00BE45A2" w:rsidRDefault="00BE45A2" w:rsidP="000E7C95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BE45A2" w:rsidRPr="00FD11AB" w:rsidRDefault="00BE45A2" w:rsidP="000E7C95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52" w:type="pct"/>
          </w:tcPr>
          <w:p w:rsidR="00BE45A2" w:rsidRDefault="00BE45A2" w:rsidP="000E7C95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BE45A2" w:rsidRDefault="00BE45A2" w:rsidP="000E7C95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BE45A2" w:rsidRPr="00ED5991" w:rsidRDefault="00BE45A2" w:rsidP="000E7C95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2" w:type="pct"/>
          </w:tcPr>
          <w:p w:rsidR="00BE45A2" w:rsidRPr="00416ED7" w:rsidRDefault="00BE45A2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45A2" w:rsidRPr="00416ED7" w:rsidRDefault="00BE45A2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BE45A2" w:rsidRPr="00416ED7" w:rsidRDefault="00BE45A2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BE45A2" w:rsidRPr="00416ED7" w:rsidRDefault="00BE45A2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BE45A2" w:rsidRPr="00416ED7" w:rsidRDefault="00BE45A2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BE45A2" w:rsidRPr="00416ED7" w:rsidRDefault="00BE45A2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E45A2" w:rsidRDefault="00BE45A2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lastRenderedPageBreak/>
              <w:t>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BE45A2" w:rsidRDefault="00BE45A2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BE45A2" w:rsidRPr="00281173" w:rsidRDefault="00BE45A2" w:rsidP="000E7C95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E45A2" w:rsidRDefault="00BE45A2" w:rsidP="000E7C95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5A2" w:rsidRPr="00D3154A" w:rsidRDefault="00BE45A2" w:rsidP="000E7C95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4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BE45A2" w:rsidRPr="00FB2759" w:rsidRDefault="00BE45A2" w:rsidP="000E7C95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BE45A2" w:rsidRPr="00D3154A" w:rsidRDefault="00BE45A2" w:rsidP="003B409D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</w:t>
            </w:r>
            <w:r>
              <w:t>7 </w:t>
            </w:r>
            <w:r w:rsidRPr="00685A94">
              <w:t xml:space="preserve">год </w:t>
            </w:r>
            <w:r>
              <w:t>00 </w:t>
            </w:r>
            <w:r w:rsidRPr="00685A94">
              <w:t xml:space="preserve">хв </w:t>
            </w:r>
            <w:r w:rsidR="003B409D" w:rsidRPr="003B409D">
              <w:t>19</w:t>
            </w:r>
            <w:r w:rsidRPr="003B409D">
              <w:t xml:space="preserve"> </w:t>
            </w:r>
            <w:r w:rsidR="005413DD" w:rsidRPr="003B409D">
              <w:t>січ</w:t>
            </w:r>
            <w:r w:rsidRPr="003B409D">
              <w:t>ня</w:t>
            </w:r>
            <w:r w:rsidRPr="00685A94">
              <w:t xml:space="preserve">                     202</w:t>
            </w:r>
            <w:r w:rsidR="005413DD">
              <w:t>2</w:t>
            </w:r>
            <w:r w:rsidRPr="00685A94">
              <w:t xml:space="preserve"> року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52" w:type="pct"/>
          </w:tcPr>
          <w:p w:rsidR="00BE45A2" w:rsidRPr="00ED5991" w:rsidRDefault="00BE45A2" w:rsidP="000E7C95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E45A2" w:rsidRDefault="00BE45A2" w:rsidP="000E7C95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2" w:type="pct"/>
          </w:tcPr>
          <w:p w:rsidR="00BE45A2" w:rsidRPr="00D3154A" w:rsidRDefault="003B409D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409D">
              <w:rPr>
                <w:sz w:val="24"/>
                <w:szCs w:val="24"/>
              </w:rPr>
              <w:t xml:space="preserve">24 </w:t>
            </w:r>
            <w:r w:rsidR="005413DD" w:rsidRPr="003B409D">
              <w:rPr>
                <w:sz w:val="24"/>
                <w:szCs w:val="24"/>
              </w:rPr>
              <w:t>січ</w:t>
            </w:r>
            <w:r w:rsidR="00BE45A2" w:rsidRPr="003B409D">
              <w:rPr>
                <w:sz w:val="24"/>
                <w:szCs w:val="24"/>
              </w:rPr>
              <w:t>ня 202</w:t>
            </w:r>
            <w:r w:rsidR="005413DD" w:rsidRPr="003B409D">
              <w:rPr>
                <w:sz w:val="24"/>
                <w:szCs w:val="24"/>
              </w:rPr>
              <w:t>2</w:t>
            </w:r>
            <w:r w:rsidR="00BE45A2" w:rsidRPr="00D3154A">
              <w:rPr>
                <w:sz w:val="24"/>
                <w:szCs w:val="24"/>
              </w:rPr>
              <w:t xml:space="preserve"> року о 10 год 00 хв.</w:t>
            </w:r>
          </w:p>
          <w:p w:rsidR="00BE45A2" w:rsidRDefault="00BE45A2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BE45A2" w:rsidRPr="00D3154A" w:rsidRDefault="00BE45A2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E45A2" w:rsidRPr="00CD6C39" w:rsidRDefault="00BE45A2" w:rsidP="000E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5A2" w:rsidRPr="00D3154A" w:rsidRDefault="00BE45A2" w:rsidP="000E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BE45A2" w:rsidRPr="00D3154A" w:rsidRDefault="00BE45A2" w:rsidP="000E7C9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BE45A2" w:rsidRPr="00D3154A" w:rsidRDefault="00BE45A2" w:rsidP="000E7C95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BE45A2" w:rsidRPr="00ED5991" w:rsidTr="000E7C95">
        <w:trPr>
          <w:trHeight w:val="1465"/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2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E45A2" w:rsidRPr="00ED5991" w:rsidTr="000E7C95">
        <w:trPr>
          <w:tblCellSpacing w:w="22" w:type="dxa"/>
        </w:trPr>
        <w:tc>
          <w:tcPr>
            <w:tcW w:w="4957" w:type="pct"/>
            <w:gridSpan w:val="3"/>
          </w:tcPr>
          <w:p w:rsidR="00BE45A2" w:rsidRPr="00DA0AC7" w:rsidRDefault="00BE45A2" w:rsidP="000E7C95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2" w:type="pct"/>
          </w:tcPr>
          <w:p w:rsidR="00BE45A2" w:rsidRPr="00DA0AC7" w:rsidRDefault="00BE45A2" w:rsidP="000E7C9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2" w:type="pct"/>
          </w:tcPr>
          <w:p w:rsidR="00BE45A2" w:rsidRPr="00DA0AC7" w:rsidRDefault="00BE45A2" w:rsidP="000E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2" w:type="pct"/>
          </w:tcPr>
          <w:p w:rsidR="00BE45A2" w:rsidRDefault="00BE45A2" w:rsidP="000E7C95">
            <w:pPr>
              <w:spacing w:line="240" w:lineRule="auto"/>
              <w:rPr>
                <w:rStyle w:val="rvts0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  <w:p w:rsidR="00BE45A2" w:rsidRPr="00DA0AC7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E45A2" w:rsidRPr="00ED5991" w:rsidTr="000E7C95">
        <w:trPr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5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2" w:type="pct"/>
          </w:tcPr>
          <w:p w:rsidR="00BE45A2" w:rsidRDefault="00BE45A2" w:rsidP="000E7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  <w:p w:rsidR="00BE45A2" w:rsidRPr="00DA0AC7" w:rsidRDefault="00BE45A2" w:rsidP="000E7C95">
            <w:pPr>
              <w:spacing w:line="240" w:lineRule="auto"/>
              <w:rPr>
                <w:rStyle w:val="rvts0"/>
                <w:sz w:val="24"/>
                <w:szCs w:val="24"/>
              </w:rPr>
            </w:pPr>
          </w:p>
        </w:tc>
      </w:tr>
      <w:tr w:rsidR="00BE45A2" w:rsidRPr="00ED5991" w:rsidTr="000E7C95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BE45A2" w:rsidRPr="007A6CCE" w:rsidRDefault="00BE45A2" w:rsidP="000E7C95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BE45A2" w:rsidRPr="007A6CCE" w:rsidRDefault="00BE45A2" w:rsidP="000E7C9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E45A2" w:rsidRPr="00ED5991" w:rsidTr="000E7C95">
        <w:trPr>
          <w:trHeight w:val="1901"/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2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BE45A2" w:rsidRPr="007A6CCE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E45A2" w:rsidRPr="00ED5991" w:rsidTr="000E7C95">
        <w:trPr>
          <w:trHeight w:val="1898"/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2" w:rsidRPr="007A6CCE" w:rsidRDefault="00BE45A2" w:rsidP="000E7C95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45A2" w:rsidRPr="007A6CCE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45A2" w:rsidRPr="007A6CCE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BE45A2" w:rsidRPr="00ED5991" w:rsidTr="002C2D22">
        <w:trPr>
          <w:trHeight w:val="617"/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5A2" w:rsidRPr="00ED5991" w:rsidRDefault="002C2D2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2" w:rsidRPr="002C2D22" w:rsidRDefault="00BE45A2" w:rsidP="002C2D2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2D22"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C2D22" w:rsidRPr="002C2D22">
              <w:rPr>
                <w:color w:val="333333"/>
                <w:sz w:val="24"/>
                <w:szCs w:val="24"/>
                <w:shd w:val="clear" w:color="auto" w:fill="FFFFFF"/>
              </w:rPr>
              <w:t>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45A2" w:rsidRPr="002C2D22" w:rsidRDefault="00BE45A2" w:rsidP="002C2D2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2D22" w:rsidRPr="002C2D22">
              <w:rPr>
                <w:color w:val="333333"/>
                <w:sz w:val="24"/>
                <w:szCs w:val="24"/>
                <w:shd w:val="clear" w:color="auto" w:fill="FFFFFF"/>
              </w:rPr>
              <w:t>вміння перевіряти надійність джерел і достовірність даних та інформації у цифровому середовищі</w:t>
            </w: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45A2" w:rsidRPr="002C2D22" w:rsidRDefault="00BE45A2" w:rsidP="002C2D2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2D22" w:rsidRPr="002C2D22">
              <w:rPr>
                <w:color w:val="333333"/>
                <w:sz w:val="24"/>
                <w:szCs w:val="24"/>
                <w:shd w:val="clear" w:color="auto" w:fill="FFFFFF"/>
              </w:rPr>
              <w:t>здатність уникати небезпек в цифровому середовищі, захищати особисті та конфіденційні дані</w:t>
            </w: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45A2" w:rsidRPr="002C2D22" w:rsidRDefault="00BE45A2" w:rsidP="002C2D2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C2D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2D22" w:rsidRPr="002C2D22">
              <w:rPr>
                <w:color w:val="333333"/>
                <w:sz w:val="24"/>
                <w:szCs w:val="24"/>
                <w:shd w:val="clear" w:color="auto" w:fill="FFFFFF"/>
              </w:rPr>
              <w:t xml:space="preserve">вміння використовувати електронні реєстри, системи електронного документообігу та інші електронні урядові </w:t>
            </w:r>
            <w:r w:rsidR="002C2D22" w:rsidRPr="002C2D22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системи для обміну інформацією, для електронного листування в рамках своїх посадових обов'язків</w:t>
            </w:r>
          </w:p>
        </w:tc>
      </w:tr>
      <w:tr w:rsidR="00BE45A2" w:rsidRPr="00ED5991" w:rsidTr="000E7C95">
        <w:trPr>
          <w:trHeight w:val="1337"/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5A2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2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BE45A2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BE45A2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4957" w:type="pct"/>
            <w:gridSpan w:val="3"/>
          </w:tcPr>
          <w:p w:rsidR="00BE45A2" w:rsidRPr="00ED5991" w:rsidRDefault="00BE45A2" w:rsidP="000E7C95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883" w:type="pct"/>
            <w:gridSpan w:val="2"/>
          </w:tcPr>
          <w:p w:rsidR="00BE45A2" w:rsidRPr="00ED5991" w:rsidRDefault="00BE45A2" w:rsidP="000E7C9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2" w:type="pct"/>
          </w:tcPr>
          <w:p w:rsidR="00BE45A2" w:rsidRPr="00ED5991" w:rsidRDefault="00BE45A2" w:rsidP="000E7C95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5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2" w:type="pct"/>
          </w:tcPr>
          <w:p w:rsidR="00BE45A2" w:rsidRPr="00E42A3F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45A2" w:rsidRPr="00ED5991" w:rsidRDefault="00BE45A2" w:rsidP="000E7C9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BE45A2" w:rsidRPr="00ED3784" w:rsidRDefault="00BE45A2" w:rsidP="000E7C95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BE45A2" w:rsidRPr="00ED5991" w:rsidTr="000E7C95">
        <w:trPr>
          <w:trHeight w:val="1468"/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pct"/>
            <w:shd w:val="clear" w:color="auto" w:fill="auto"/>
          </w:tcPr>
          <w:p w:rsidR="00BE45A2" w:rsidRPr="00ED5991" w:rsidRDefault="00BE45A2" w:rsidP="000E7C95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2" w:type="pct"/>
            <w:shd w:val="clear" w:color="auto" w:fill="auto"/>
          </w:tcPr>
          <w:p w:rsidR="00BE45A2" w:rsidRPr="00432584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Знання: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інформацію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доступ до публічної інформації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основні засади забезпечення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кібербезпеки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України</w:t>
            </w:r>
            <w:r w:rsidRPr="00432584">
              <w:rPr>
                <w:rFonts w:cs="Times New Roman"/>
                <w:sz w:val="24"/>
                <w:szCs w:val="24"/>
                <w:lang w:val="ru-RU"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E45A2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захист інформації в інформаційно-телекомунікаційних системах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E45A2" w:rsidRPr="00432584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>Закону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 xml:space="preserve"> України 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“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Національну програму інформатизації</w:t>
            </w:r>
            <w:r w:rsidRPr="004875B8">
              <w:rPr>
                <w:rFonts w:cs="Times New Roman"/>
                <w:sz w:val="24"/>
                <w:szCs w:val="24"/>
                <w:lang w:eastAsia="ru-RU"/>
              </w:rPr>
              <w:t>”</w:t>
            </w:r>
            <w:r w:rsidRPr="0043258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E45A2" w:rsidRPr="00432584" w:rsidRDefault="00BE45A2" w:rsidP="000E7C95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sz w:val="24"/>
                <w:szCs w:val="24"/>
              </w:rPr>
              <w:t xml:space="preserve">Постанови Кабінету Міністрів України від 27.12.2017                   № 1101 </w:t>
            </w:r>
            <w:r w:rsidRPr="004875B8">
              <w:rPr>
                <w:rFonts w:cs="Times New Roman"/>
                <w:sz w:val="24"/>
                <w:szCs w:val="24"/>
              </w:rPr>
              <w:t>“</w:t>
            </w:r>
            <w:r w:rsidRPr="00432584">
              <w:rPr>
                <w:rFonts w:cs="Times New Roman"/>
                <w:sz w:val="24"/>
                <w:szCs w:val="24"/>
              </w:rPr>
              <w:t>Про утворення Національної служби здоров’я України</w:t>
            </w:r>
            <w:r w:rsidRPr="004875B8">
              <w:rPr>
                <w:rFonts w:cs="Times New Roman"/>
                <w:sz w:val="24"/>
                <w:szCs w:val="24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BE45A2" w:rsidRPr="00432584" w:rsidRDefault="00BE45A2" w:rsidP="000E7C95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r w:rsidRPr="004875B8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Деякі питання цифрового розвитку</w:t>
            </w:r>
            <w:r w:rsidRPr="004875B8">
              <w:rPr>
                <w:rFonts w:cs="Times New Roman"/>
                <w:sz w:val="24"/>
                <w:szCs w:val="24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BE45A2" w:rsidRDefault="00BE45A2" w:rsidP="000E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373 </w:t>
            </w:r>
            <w:r w:rsidRPr="004875B8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Про затвердження Правил забезпечення захисту інформації в інформаційних, телекомунікаційних та інформаційно-телекомунікаційних системах</w:t>
            </w:r>
            <w:r w:rsidRPr="004875B8">
              <w:rPr>
                <w:rFonts w:cs="Times New Roman"/>
                <w:sz w:val="24"/>
                <w:szCs w:val="24"/>
              </w:rPr>
              <w:t>”</w:t>
            </w:r>
            <w:r w:rsidRPr="00432584">
              <w:rPr>
                <w:rFonts w:cs="Times New Roman"/>
                <w:sz w:val="24"/>
                <w:szCs w:val="24"/>
              </w:rPr>
              <w:t>;</w:t>
            </w:r>
          </w:p>
          <w:p w:rsidR="00BE45A2" w:rsidRPr="00432584" w:rsidRDefault="00BE45A2" w:rsidP="000E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32584">
              <w:rPr>
                <w:rFonts w:cs="Times New Roman"/>
                <w:sz w:val="24"/>
                <w:szCs w:val="24"/>
                <w:lang w:eastAsia="ru-RU"/>
              </w:rPr>
              <w:t>- 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258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F2F2B">
              <w:rPr>
                <w:rFonts w:cs="Times New Roman"/>
                <w:sz w:val="24"/>
                <w:szCs w:val="24"/>
              </w:rPr>
              <w:t xml:space="preserve">“Про </w:t>
            </w:r>
            <w:r w:rsidRPr="00FF2F2B">
              <w:rPr>
                <w:bCs/>
                <w:sz w:val="24"/>
                <w:szCs w:val="24"/>
                <w:shd w:val="clear" w:color="auto" w:fill="FFFFFF"/>
              </w:rPr>
              <w:t>Порядок оприлюднення у мережі Інтернет інформації про діяльність органів виконавчої влади</w:t>
            </w:r>
            <w:r w:rsidRPr="00FF2F2B">
              <w:rPr>
                <w:rFonts w:cs="Times New Roman"/>
                <w:sz w:val="24"/>
                <w:szCs w:val="24"/>
              </w:rPr>
              <w:t>”</w:t>
            </w:r>
          </w:p>
        </w:tc>
      </w:tr>
      <w:tr w:rsidR="00BE45A2" w:rsidRPr="00ED5991" w:rsidTr="000E7C95">
        <w:trPr>
          <w:tblCellSpacing w:w="22" w:type="dxa"/>
        </w:trPr>
        <w:tc>
          <w:tcPr>
            <w:tcW w:w="157" w:type="pct"/>
          </w:tcPr>
          <w:p w:rsidR="00BE45A2" w:rsidRPr="00ED5991" w:rsidRDefault="00BE45A2" w:rsidP="000E7C9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5" w:type="pct"/>
            <w:shd w:val="clear" w:color="auto" w:fill="auto"/>
          </w:tcPr>
          <w:p w:rsidR="00BE45A2" w:rsidRPr="00CC5714" w:rsidRDefault="00BE45A2" w:rsidP="000E7C95">
            <w:pPr>
              <w:tabs>
                <w:tab w:val="left" w:pos="1418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C5714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системи підтримки технічних засобів</w:t>
            </w:r>
          </w:p>
          <w:p w:rsidR="00BE45A2" w:rsidRPr="00CC5714" w:rsidRDefault="00BE45A2" w:rsidP="000E7C95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shd w:val="clear" w:color="auto" w:fill="auto"/>
          </w:tcPr>
          <w:p w:rsidR="00BE45A2" w:rsidRPr="00CC5714" w:rsidRDefault="00BE45A2" w:rsidP="00372BC0">
            <w:pPr>
              <w:jc w:val="both"/>
              <w:rPr>
                <w:sz w:val="24"/>
                <w:szCs w:val="24"/>
                <w:lang w:eastAsia="ru-RU"/>
              </w:rPr>
            </w:pPr>
            <w:r w:rsidRPr="00CC5714">
              <w:rPr>
                <w:sz w:val="24"/>
                <w:szCs w:val="24"/>
                <w:lang w:eastAsia="ru-RU"/>
              </w:rPr>
              <w:t>Участь у підтримці технічних засобів інформаційних систем НСЗУ та обслуговуванні користувачів інформаційних систем та комплексів</w:t>
            </w:r>
          </w:p>
        </w:tc>
      </w:tr>
    </w:tbl>
    <w:p w:rsidR="00BE45A2" w:rsidRPr="00ED5991" w:rsidRDefault="00BE45A2" w:rsidP="00BE45A2">
      <w:pPr>
        <w:spacing w:line="240" w:lineRule="auto"/>
      </w:pPr>
    </w:p>
    <w:p w:rsidR="00BE45A2" w:rsidRPr="00401739" w:rsidRDefault="00BE45A2" w:rsidP="00BE45A2"/>
    <w:p w:rsidR="00BE45A2" w:rsidRDefault="00BE45A2" w:rsidP="00BE45A2"/>
    <w:p w:rsidR="00BE45A2" w:rsidRDefault="00BE45A2" w:rsidP="00BE45A2"/>
    <w:p w:rsidR="00D465EF" w:rsidRDefault="003B409D">
      <w:bookmarkStart w:id="0" w:name="_GoBack"/>
      <w:bookmarkEnd w:id="0"/>
    </w:p>
    <w:sectPr w:rsidR="00D465EF" w:rsidSect="005F37C4">
      <w:pgSz w:w="11906" w:h="16838"/>
      <w:pgMar w:top="1134" w:right="426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A9B"/>
    <w:multiLevelType w:val="hybridMultilevel"/>
    <w:tmpl w:val="780245B0"/>
    <w:lvl w:ilvl="0" w:tplc="CF36F9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AFC"/>
    <w:multiLevelType w:val="hybridMultilevel"/>
    <w:tmpl w:val="B87E3B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702A66"/>
    <w:multiLevelType w:val="hybridMultilevel"/>
    <w:tmpl w:val="74988074"/>
    <w:lvl w:ilvl="0" w:tplc="4DD8DC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A2"/>
    <w:rsid w:val="002C2D22"/>
    <w:rsid w:val="00372BC0"/>
    <w:rsid w:val="003B409D"/>
    <w:rsid w:val="003E4CCD"/>
    <w:rsid w:val="004D3DC4"/>
    <w:rsid w:val="005413DD"/>
    <w:rsid w:val="00655AC2"/>
    <w:rsid w:val="006F14E5"/>
    <w:rsid w:val="008915B6"/>
    <w:rsid w:val="00B725A4"/>
    <w:rsid w:val="00BE45A2"/>
    <w:rsid w:val="00D13084"/>
    <w:rsid w:val="00D24A50"/>
    <w:rsid w:val="00EF2802"/>
    <w:rsid w:val="00F7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3730"/>
  <w15:chartTrackingRefBased/>
  <w15:docId w15:val="{236CE8CC-D5FC-4FFF-A64E-1585A0D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A2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BE4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E4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semiHidden/>
    <w:rsid w:val="00BE45A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BE45A2"/>
  </w:style>
  <w:style w:type="paragraph" w:customStyle="1" w:styleId="rvps14">
    <w:name w:val="rvps14"/>
    <w:basedOn w:val="a"/>
    <w:uiPriority w:val="99"/>
    <w:rsid w:val="00BE45A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BE45A2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D24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3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3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6719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5</cp:revision>
  <cp:lastPrinted>2022-01-11T14:43:00Z</cp:lastPrinted>
  <dcterms:created xsi:type="dcterms:W3CDTF">2022-01-11T08:24:00Z</dcterms:created>
  <dcterms:modified xsi:type="dcterms:W3CDTF">2022-01-12T14:16:00Z</dcterms:modified>
</cp:coreProperties>
</file>