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2D3003" w:rsidRPr="00ED5991" w:rsidTr="004C1FE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3003" w:rsidRPr="00BF0546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  <w:r w:rsidR="00E066E4">
              <w:rPr>
                <w:color w:val="000000"/>
                <w:sz w:val="24"/>
                <w:szCs w:val="24"/>
              </w:rPr>
              <w:t>2</w:t>
            </w:r>
          </w:p>
          <w:p w:rsidR="002D3003" w:rsidRPr="00B91378" w:rsidRDefault="002D3003" w:rsidP="004C1FE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2D3003" w:rsidRPr="00B91378" w:rsidRDefault="002D3003" w:rsidP="004C1FE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2D3003" w:rsidRPr="00ED5991" w:rsidRDefault="002D3003" w:rsidP="00146E0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B0955">
              <w:rPr>
                <w:color w:val="000000"/>
                <w:sz w:val="24"/>
                <w:szCs w:val="24"/>
              </w:rPr>
              <w:t xml:space="preserve">від </w:t>
            </w:r>
            <w:r w:rsidR="003A04C1" w:rsidRPr="003B0955">
              <w:rPr>
                <w:color w:val="000000"/>
                <w:sz w:val="24"/>
                <w:szCs w:val="24"/>
              </w:rPr>
              <w:t>2</w:t>
            </w:r>
            <w:r w:rsidR="00146E0C">
              <w:rPr>
                <w:color w:val="000000"/>
                <w:sz w:val="24"/>
                <w:szCs w:val="24"/>
              </w:rPr>
              <w:t>6</w:t>
            </w:r>
            <w:r w:rsidR="000F6B0A" w:rsidRPr="003B0955">
              <w:rPr>
                <w:color w:val="000000"/>
                <w:sz w:val="24"/>
                <w:szCs w:val="24"/>
                <w:lang w:val="ru-RU"/>
              </w:rPr>
              <w:t>.1</w:t>
            </w:r>
            <w:r w:rsidR="00924E31" w:rsidRPr="003B0955">
              <w:rPr>
                <w:color w:val="000000"/>
                <w:sz w:val="24"/>
                <w:szCs w:val="24"/>
                <w:lang w:val="ru-RU"/>
              </w:rPr>
              <w:t>1</w:t>
            </w:r>
            <w:r w:rsidR="000F6B0A" w:rsidRPr="003B0955">
              <w:rPr>
                <w:color w:val="000000"/>
                <w:sz w:val="24"/>
                <w:szCs w:val="24"/>
                <w:lang w:val="ru-RU"/>
              </w:rPr>
              <w:t>.</w:t>
            </w:r>
            <w:r w:rsidRPr="003B0955">
              <w:rPr>
                <w:color w:val="000000"/>
                <w:sz w:val="24"/>
                <w:szCs w:val="24"/>
                <w:lang w:val="ru-RU"/>
              </w:rPr>
              <w:t>2021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3154A">
              <w:rPr>
                <w:sz w:val="24"/>
                <w:szCs w:val="24"/>
              </w:rPr>
              <w:t xml:space="preserve">№ </w:t>
            </w:r>
            <w:r w:rsidR="00146E0C">
              <w:rPr>
                <w:sz w:val="24"/>
                <w:szCs w:val="24"/>
              </w:rPr>
              <w:t xml:space="preserve">811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2D3003" w:rsidRPr="00ED5991" w:rsidRDefault="002D3003" w:rsidP="002D3003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2D3003" w:rsidRPr="00EC6E74" w:rsidRDefault="002D3003" w:rsidP="002D3003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2D3003" w:rsidRDefault="002D3003" w:rsidP="002D3003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C6E74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rFonts w:ascii="Times New Roman" w:hAnsi="Times New Roman"/>
          <w:sz w:val="24"/>
          <w:szCs w:val="24"/>
        </w:rPr>
        <w:t>“</w:t>
      </w:r>
      <w:r w:rsidRPr="00EC6E74">
        <w:rPr>
          <w:rFonts w:ascii="Times New Roman" w:hAnsi="Times New Roman"/>
          <w:bCs/>
          <w:sz w:val="24"/>
          <w:szCs w:val="24"/>
        </w:rPr>
        <w:t>В</w:t>
      </w:r>
      <w:r w:rsidRPr="00EC6E74">
        <w:rPr>
          <w:rFonts w:ascii="Times New Roman" w:hAnsi="Times New Roman"/>
          <w:sz w:val="24"/>
          <w:szCs w:val="24"/>
        </w:rPr>
        <w:t>” –</w:t>
      </w:r>
    </w:p>
    <w:p w:rsidR="00E066E4" w:rsidRPr="00E066E4" w:rsidRDefault="00E066E4" w:rsidP="002D3003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06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головного спеціаліста аналітичного відділу управління звітності та розрахунків за договорами Департаменту договірної роботи</w:t>
      </w: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610"/>
        <w:gridCol w:w="6210"/>
      </w:tblGrid>
      <w:tr w:rsidR="002D3003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2D3003" w:rsidRPr="00ED5991" w:rsidRDefault="002D3003" w:rsidP="004C1FE1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2D3003" w:rsidRPr="00ED5991" w:rsidTr="00E066E4">
        <w:trPr>
          <w:tblCellSpacing w:w="22" w:type="dxa"/>
        </w:trPr>
        <w:tc>
          <w:tcPr>
            <w:tcW w:w="1920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15" w:type="pct"/>
            <w:shd w:val="clear" w:color="auto" w:fill="auto"/>
          </w:tcPr>
          <w:p w:rsidR="00C31F74" w:rsidRPr="00C31F74" w:rsidRDefault="00C31F74" w:rsidP="00C31F7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04" w:hanging="284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з</w:t>
            </w:r>
            <w:r w:rsidRPr="00C31F74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дійснює розробку та супроводження форм та </w:t>
            </w:r>
            <w:proofErr w:type="spellStart"/>
            <w:r w:rsidRPr="00C31F74">
              <w:rPr>
                <w:rFonts w:ascii="TimesNewRomanPSMT" w:eastAsiaTheme="minorHAnsi" w:hAnsi="TimesNewRomanPSMT" w:cs="TimesNewRomanPSMT"/>
                <w:sz w:val="24"/>
                <w:szCs w:val="24"/>
              </w:rPr>
              <w:t>дашбордів</w:t>
            </w:r>
            <w:proofErr w:type="spellEnd"/>
            <w:r w:rsidRPr="00C31F74">
              <w:rPr>
                <w:rFonts w:ascii="TimesNewRomanPSMT" w:eastAsiaTheme="minorHAnsi" w:hAnsi="TimesNewRomanPSMT" w:cs="TimesNewRomanPSMT"/>
                <w:sz w:val="24"/>
                <w:szCs w:val="24"/>
              </w:rPr>
              <w:t>,</w:t>
            </w:r>
            <w:r w:rsidR="002E4111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C31F74">
              <w:rPr>
                <w:rFonts w:ascii="TimesNewRomanPSMT" w:eastAsiaTheme="minorHAnsi" w:hAnsi="TimesNewRomanPSMT" w:cs="TimesNewRomanPSMT"/>
                <w:sz w:val="24"/>
                <w:szCs w:val="24"/>
              </w:rPr>
              <w:t>що відображають інформацію про суми сплачених коштів за</w:t>
            </w:r>
            <w:r w:rsidR="002E4111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C31F74">
              <w:rPr>
                <w:rFonts w:ascii="TimesNewRomanPSMT" w:eastAsiaTheme="minorHAnsi" w:hAnsi="TimesNewRomanPSMT" w:cs="TimesNewRomanPSMT"/>
                <w:sz w:val="24"/>
                <w:szCs w:val="24"/>
              </w:rPr>
              <w:t>звітами про надані медичні послуги за договорами про</w:t>
            </w:r>
            <w:r w:rsidR="002E4111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C31F74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медичне </w:t>
            </w:r>
            <w:r w:rsidR="002E4111">
              <w:rPr>
                <w:rFonts w:ascii="TimesNewRomanPSMT" w:eastAsiaTheme="minorHAnsi" w:hAnsi="TimesNewRomanPSMT" w:cs="TimesNewRomanPSMT"/>
                <w:sz w:val="24"/>
                <w:szCs w:val="24"/>
              </w:rPr>
              <w:t>о</w:t>
            </w:r>
            <w:r w:rsidRPr="00C31F74">
              <w:rPr>
                <w:rFonts w:ascii="TimesNewRomanPSMT" w:eastAsiaTheme="minorHAnsi" w:hAnsi="TimesNewRomanPSMT" w:cs="TimesNewRomanPSMT"/>
                <w:sz w:val="24"/>
                <w:szCs w:val="24"/>
              </w:rPr>
              <w:t>бслуговування населення за програмою медичних</w:t>
            </w:r>
            <w:r w:rsidR="002E4111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C31F74">
              <w:rPr>
                <w:rFonts w:ascii="TimesNewRomanPSMT" w:eastAsiaTheme="minorHAnsi" w:hAnsi="TimesNewRomanPSMT" w:cs="TimesNewRomanPSMT"/>
                <w:sz w:val="24"/>
                <w:szCs w:val="24"/>
              </w:rPr>
              <w:t>гарантій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;</w:t>
            </w:r>
          </w:p>
          <w:p w:rsidR="00C31F74" w:rsidRPr="00C31F74" w:rsidRDefault="00C31F74" w:rsidP="00F3348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04" w:hanging="284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C31F74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забезпечує повноту, своєчасність та актуальність відображення управлінської інформації в частині </w:t>
            </w:r>
            <w:proofErr w:type="spellStart"/>
            <w:r w:rsidRPr="00C31F74">
              <w:rPr>
                <w:rFonts w:ascii="TimesNewRomanPSMT" w:eastAsiaTheme="minorHAnsi" w:hAnsi="TimesNewRomanPSMT" w:cs="TimesNewRomanPSMT"/>
                <w:sz w:val="24"/>
                <w:szCs w:val="24"/>
              </w:rPr>
              <w:t>оплат</w:t>
            </w:r>
            <w:proofErr w:type="spellEnd"/>
            <w:r w:rsidRPr="00C31F74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за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C31F74">
              <w:rPr>
                <w:rFonts w:ascii="TimesNewRomanPSMT" w:eastAsiaTheme="minorHAnsi" w:hAnsi="TimesNewRomanPSMT" w:cs="TimesNewRomanPSMT"/>
                <w:sz w:val="24"/>
                <w:szCs w:val="24"/>
              </w:rPr>
              <w:t>надані медичні послуги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;</w:t>
            </w:r>
          </w:p>
          <w:p w:rsidR="00C31F74" w:rsidRPr="002E4111" w:rsidRDefault="00C31F74" w:rsidP="007229A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04" w:hanging="284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2E4111">
              <w:rPr>
                <w:rFonts w:ascii="TimesNewRomanPSMT" w:eastAsiaTheme="minorHAnsi" w:hAnsi="TimesNewRomanPSMT" w:cs="TimesNewRomanPSMT"/>
                <w:sz w:val="24"/>
                <w:szCs w:val="24"/>
              </w:rPr>
              <w:t>проводить аналіз стану виконання умов договорів про</w:t>
            </w:r>
            <w:r w:rsidR="002E4111" w:rsidRPr="002E4111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2E4111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медичне обслуговування населення за програмою медичних гарантій в частині </w:t>
            </w:r>
            <w:proofErr w:type="spellStart"/>
            <w:r w:rsidRPr="002E4111">
              <w:rPr>
                <w:rFonts w:ascii="TimesNewRomanPSMT" w:eastAsiaTheme="minorHAnsi" w:hAnsi="TimesNewRomanPSMT" w:cs="TimesNewRomanPSMT"/>
                <w:sz w:val="24"/>
                <w:szCs w:val="24"/>
              </w:rPr>
              <w:t>оплат</w:t>
            </w:r>
            <w:proofErr w:type="spellEnd"/>
            <w:r w:rsidRPr="002E4111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за надані медичні послуги;</w:t>
            </w:r>
          </w:p>
          <w:p w:rsidR="00C31F74" w:rsidRPr="002E4111" w:rsidRDefault="00C31F74" w:rsidP="00993FE6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04" w:hanging="284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2E4111">
              <w:rPr>
                <w:rFonts w:ascii="TimesNewRomanPSMT" w:eastAsiaTheme="minorHAnsi" w:hAnsi="TimesNewRomanPSMT" w:cs="TimesNewRomanPSMT"/>
                <w:sz w:val="24"/>
                <w:szCs w:val="24"/>
              </w:rPr>
              <w:t>здійснює розробку інструментів для аналізу стану виконання умов договорів про медичне обслуговування</w:t>
            </w:r>
            <w:r w:rsidR="002E4111" w:rsidRPr="002E4111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2E4111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населення за програмою медичних гарантій в частині </w:t>
            </w:r>
            <w:proofErr w:type="spellStart"/>
            <w:r w:rsidRPr="002E4111">
              <w:rPr>
                <w:rFonts w:ascii="TimesNewRomanPSMT" w:eastAsiaTheme="minorHAnsi" w:hAnsi="TimesNewRomanPSMT" w:cs="TimesNewRomanPSMT"/>
                <w:sz w:val="24"/>
                <w:szCs w:val="24"/>
              </w:rPr>
              <w:t>оплат</w:t>
            </w:r>
            <w:proofErr w:type="spellEnd"/>
            <w:r w:rsidRPr="002E4111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за надані медичні послуги;</w:t>
            </w:r>
          </w:p>
          <w:p w:rsidR="00055168" w:rsidRPr="00973F1F" w:rsidRDefault="00C31F74" w:rsidP="00C31F7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0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б</w:t>
            </w:r>
            <w:r w:rsidRPr="00C31F74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ере участь у розробці та впровадженні </w:t>
            </w:r>
            <w:proofErr w:type="spellStart"/>
            <w:r w:rsidRPr="00C31F74">
              <w:rPr>
                <w:rFonts w:ascii="TimesNewRomanPSMT" w:eastAsiaTheme="minorHAnsi" w:hAnsi="TimesNewRomanPSMT" w:cs="TimesNewRomanPSMT"/>
                <w:sz w:val="24"/>
                <w:szCs w:val="24"/>
              </w:rPr>
              <w:t>методик</w:t>
            </w:r>
            <w:proofErr w:type="spellEnd"/>
            <w:r w:rsidRPr="00C31F74">
              <w:rPr>
                <w:rFonts w:ascii="TimesNewRomanPSMT" w:eastAsiaTheme="minorHAnsi" w:hAnsi="TimesNewRomanPSMT" w:cs="TimesNewRomanPSMT"/>
                <w:sz w:val="24"/>
                <w:szCs w:val="24"/>
              </w:rPr>
              <w:t>, інструкцій,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технічних карт складення управлінської звітності</w:t>
            </w:r>
            <w:r w:rsidR="00973F1F">
              <w:rPr>
                <w:rFonts w:ascii="TimesNewRomanPSMT" w:eastAsiaTheme="minorHAnsi" w:hAnsi="TimesNewRomanPSMT" w:cs="TimesNewRomanPSMT"/>
                <w:sz w:val="24"/>
                <w:szCs w:val="24"/>
              </w:rPr>
              <w:t>;</w:t>
            </w:r>
          </w:p>
          <w:p w:rsidR="00973F1F" w:rsidRPr="00973F1F" w:rsidRDefault="00973F1F" w:rsidP="00C31F7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0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б</w:t>
            </w:r>
            <w:r w:rsidRPr="00C31F74">
              <w:rPr>
                <w:rFonts w:ascii="TimesNewRomanPSMT" w:eastAsiaTheme="minorHAnsi" w:hAnsi="TimesNewRomanPSMT" w:cs="TimesNewRomanPSMT"/>
                <w:sz w:val="24"/>
                <w:szCs w:val="24"/>
              </w:rPr>
              <w:t>ере участь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у розробленні організаційно-розпорядчих документів з питань, що належать до компетенції відділу;</w:t>
            </w:r>
          </w:p>
          <w:p w:rsidR="00973F1F" w:rsidRPr="00924E31" w:rsidRDefault="00973F1F" w:rsidP="00C31F7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0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розглядає та готує відповіді на звернення громадян, запити на отримання публічної інформації, звернення та запити адвокатів і народних депутатів України, звернення органів державної влади, органів місцевого самоврядування, об’єднань громадян, підприємств, установ, організацій незалежно від форми власності, їх посадових та службових осіб з питань, що належать до компетенції відділу</w:t>
            </w:r>
          </w:p>
        </w:tc>
      </w:tr>
      <w:tr w:rsidR="002D3003" w:rsidRPr="00ED5991" w:rsidTr="00E066E4">
        <w:trPr>
          <w:tblCellSpacing w:w="22" w:type="dxa"/>
        </w:trPr>
        <w:tc>
          <w:tcPr>
            <w:tcW w:w="1920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15" w:type="pct"/>
          </w:tcPr>
          <w:p w:rsidR="002D3003" w:rsidRPr="00D91231" w:rsidRDefault="002D3003" w:rsidP="004C1FE1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2D3003" w:rsidRDefault="002D3003" w:rsidP="004C1FE1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2D3003" w:rsidRPr="00FD11AB" w:rsidRDefault="002D3003" w:rsidP="004C1FE1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2D3003" w:rsidRPr="00ED5991" w:rsidTr="00E066E4">
        <w:trPr>
          <w:tblCellSpacing w:w="22" w:type="dxa"/>
        </w:trPr>
        <w:tc>
          <w:tcPr>
            <w:tcW w:w="1920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15" w:type="pct"/>
          </w:tcPr>
          <w:p w:rsidR="002D3003" w:rsidRDefault="002D3003" w:rsidP="004C1FE1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2D3003" w:rsidRDefault="002D3003" w:rsidP="004C1FE1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2D3003" w:rsidRPr="00ED5991" w:rsidRDefault="002D3003" w:rsidP="004C1FE1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D3003" w:rsidRPr="00ED5991" w:rsidTr="00E066E4">
        <w:trPr>
          <w:tblCellSpacing w:w="22" w:type="dxa"/>
        </w:trPr>
        <w:tc>
          <w:tcPr>
            <w:tcW w:w="1920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15" w:type="pct"/>
          </w:tcPr>
          <w:p w:rsidR="002D3003" w:rsidRPr="00416ED7" w:rsidRDefault="002D3003" w:rsidP="004C1FE1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D3003" w:rsidRPr="00416ED7" w:rsidRDefault="002D3003" w:rsidP="004C1FE1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2D3003" w:rsidRPr="00416ED7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2D3003" w:rsidRPr="00416ED7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2D3003" w:rsidRPr="00416ED7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2D3003" w:rsidRPr="00416ED7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2D3003" w:rsidRDefault="002D3003" w:rsidP="004C1FE1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2D3003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2D3003" w:rsidRPr="00281173" w:rsidRDefault="002D3003" w:rsidP="004C1FE1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D3003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003" w:rsidRPr="00D3154A" w:rsidRDefault="002D3003" w:rsidP="004C1FE1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2D3003" w:rsidRPr="00FB2759" w:rsidRDefault="002D3003" w:rsidP="004C1FE1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2D3003" w:rsidRPr="00D3154A" w:rsidRDefault="002D3003" w:rsidP="00146E0C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0B3060">
              <w:t xml:space="preserve">до 17 год 00 хв </w:t>
            </w:r>
            <w:r w:rsidR="00146E0C">
              <w:t>06</w:t>
            </w:r>
            <w:r w:rsidRPr="000B3060">
              <w:rPr>
                <w:shd w:val="clear" w:color="auto" w:fill="FFFFFF" w:themeFill="background1"/>
              </w:rPr>
              <w:t xml:space="preserve"> </w:t>
            </w:r>
            <w:r w:rsidR="00146E0C">
              <w:rPr>
                <w:shd w:val="clear" w:color="auto" w:fill="FFFFFF" w:themeFill="background1"/>
              </w:rPr>
              <w:t>грудня</w:t>
            </w:r>
            <w:r w:rsidRPr="006C04DB">
              <w:rPr>
                <w:shd w:val="clear" w:color="auto" w:fill="FFFFFF" w:themeFill="background1"/>
              </w:rPr>
              <w:t xml:space="preserve">                     2021 року</w:t>
            </w:r>
          </w:p>
        </w:tc>
      </w:tr>
      <w:tr w:rsidR="002D3003" w:rsidRPr="00ED5991" w:rsidTr="00E066E4">
        <w:trPr>
          <w:tblCellSpacing w:w="22" w:type="dxa"/>
        </w:trPr>
        <w:tc>
          <w:tcPr>
            <w:tcW w:w="1920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15" w:type="pct"/>
          </w:tcPr>
          <w:p w:rsidR="002D3003" w:rsidRPr="00ED5991" w:rsidRDefault="002D3003" w:rsidP="004C1FE1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2D3003" w:rsidRPr="00ED5991" w:rsidTr="00E066E4">
        <w:trPr>
          <w:tblCellSpacing w:w="22" w:type="dxa"/>
        </w:trPr>
        <w:tc>
          <w:tcPr>
            <w:tcW w:w="1920" w:type="pct"/>
            <w:gridSpan w:val="2"/>
          </w:tcPr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співбесіди (із зазначенням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електронної платформи для комунікації дистанційно)</w:t>
            </w: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15" w:type="pct"/>
          </w:tcPr>
          <w:p w:rsidR="002D3003" w:rsidRPr="00D3154A" w:rsidRDefault="003A04C1" w:rsidP="004C1FE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0955">
              <w:rPr>
                <w:sz w:val="24"/>
                <w:szCs w:val="24"/>
              </w:rPr>
              <w:lastRenderedPageBreak/>
              <w:t>0</w:t>
            </w:r>
            <w:r w:rsidR="00146E0C">
              <w:rPr>
                <w:sz w:val="24"/>
                <w:szCs w:val="24"/>
              </w:rPr>
              <w:t>9</w:t>
            </w:r>
            <w:r w:rsidR="002D3003" w:rsidRPr="003B0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грудня</w:t>
            </w:r>
            <w:r w:rsidR="002D3003" w:rsidRPr="000B3060">
              <w:rPr>
                <w:sz w:val="24"/>
                <w:szCs w:val="24"/>
              </w:rPr>
              <w:t xml:space="preserve"> 2021 року о 10 год 00 хв.</w:t>
            </w:r>
            <w:bookmarkStart w:id="0" w:name="_GoBack"/>
            <w:bookmarkEnd w:id="0"/>
          </w:p>
          <w:p w:rsidR="00D61E36" w:rsidRDefault="00D61E36" w:rsidP="004C1FE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D3003" w:rsidRDefault="002D3003" w:rsidP="004C1FE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2D3003" w:rsidRPr="00CD6C39" w:rsidRDefault="002D3003" w:rsidP="004C1FE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color w:val="auto"/>
                <w:sz w:val="24"/>
                <w:szCs w:val="24"/>
              </w:rPr>
              <w:t xml:space="preserve"> 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2D3003" w:rsidRDefault="002D3003" w:rsidP="004C1FE1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D3003" w:rsidRDefault="002D3003" w:rsidP="004C1FE1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61E36" w:rsidRDefault="00D61E36" w:rsidP="004C1FE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2D3003" w:rsidRPr="00D3154A" w:rsidRDefault="002D3003" w:rsidP="004C1FE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2D3003" w:rsidRPr="00D3154A" w:rsidRDefault="002D3003" w:rsidP="004C1FE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2D3003" w:rsidRPr="00D3154A" w:rsidRDefault="002D3003" w:rsidP="004C1FE1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2D3003" w:rsidRPr="00ED5991" w:rsidTr="00E066E4">
        <w:trPr>
          <w:trHeight w:val="1609"/>
          <w:tblCellSpacing w:w="22" w:type="dxa"/>
        </w:trPr>
        <w:tc>
          <w:tcPr>
            <w:tcW w:w="1920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15" w:type="pct"/>
          </w:tcPr>
          <w:p w:rsidR="002D3003" w:rsidRPr="00ED5991" w:rsidRDefault="000F6B0A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r w:rsidRPr="000F6B0A">
              <w:rPr>
                <w:sz w:val="24"/>
                <w:szCs w:val="24"/>
              </w:rPr>
              <w:t xml:space="preserve"> 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2D3003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2D3003" w:rsidRPr="00DA0AC7" w:rsidRDefault="002D3003" w:rsidP="000F6B0A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2D3003" w:rsidRPr="00ED5991" w:rsidTr="00E066E4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2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15" w:type="pct"/>
          </w:tcPr>
          <w:p w:rsidR="002D3003" w:rsidRPr="00DA0AC7" w:rsidRDefault="002D3003" w:rsidP="00B01AD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2D3003" w:rsidRPr="00ED5991" w:rsidTr="00E066E4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2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15" w:type="pct"/>
          </w:tcPr>
          <w:p w:rsidR="002D3003" w:rsidRPr="00DA0AC7" w:rsidRDefault="002D3003" w:rsidP="004C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2D3003" w:rsidRPr="00ED5991" w:rsidTr="00E066E4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2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15" w:type="pct"/>
          </w:tcPr>
          <w:p w:rsidR="002D3003" w:rsidRPr="00DA0AC7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2D3003" w:rsidRPr="00ED5991" w:rsidTr="00E066E4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42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15" w:type="pct"/>
          </w:tcPr>
          <w:p w:rsidR="002D3003" w:rsidRPr="00DA0AC7" w:rsidRDefault="002D3003" w:rsidP="004C1FE1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2D3003" w:rsidRPr="00ED5991" w:rsidTr="004C1FE1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2D3003" w:rsidRPr="007A6CCE" w:rsidRDefault="002D3003" w:rsidP="004C1FE1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2D3003" w:rsidRPr="00ED5991" w:rsidTr="00E066E4">
        <w:trPr>
          <w:tblCellSpacing w:w="22" w:type="dxa"/>
        </w:trPr>
        <w:tc>
          <w:tcPr>
            <w:tcW w:w="1920" w:type="pct"/>
            <w:gridSpan w:val="2"/>
          </w:tcPr>
          <w:p w:rsidR="002D3003" w:rsidRPr="00ED5991" w:rsidRDefault="002D3003" w:rsidP="004C1FE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15" w:type="pct"/>
          </w:tcPr>
          <w:p w:rsidR="002D3003" w:rsidRPr="007A6CCE" w:rsidRDefault="002D3003" w:rsidP="004C1FE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D3003" w:rsidRPr="00ED5991" w:rsidTr="00B01AD6">
        <w:trPr>
          <w:trHeight w:val="1703"/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2D3003" w:rsidRDefault="002D3003" w:rsidP="004C1FE1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2D3003" w:rsidRPr="00ED5991" w:rsidTr="00B01AD6">
        <w:trPr>
          <w:trHeight w:val="1658"/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Pr="007A6CCE" w:rsidRDefault="002D3003" w:rsidP="000F6B0A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0F6B0A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2D3003" w:rsidRPr="00ED5991" w:rsidTr="00B01AD6">
        <w:trPr>
          <w:trHeight w:val="1374"/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2D3003" w:rsidRPr="00ED5991" w:rsidTr="00B01AD6">
        <w:trPr>
          <w:trHeight w:val="1084"/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2D3003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2D3003" w:rsidRPr="00ED5991" w:rsidRDefault="002D3003" w:rsidP="004C1FE1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2D3003" w:rsidRPr="00ED5991" w:rsidTr="00E066E4">
        <w:trPr>
          <w:tblCellSpacing w:w="22" w:type="dxa"/>
        </w:trPr>
        <w:tc>
          <w:tcPr>
            <w:tcW w:w="1920" w:type="pct"/>
            <w:gridSpan w:val="2"/>
          </w:tcPr>
          <w:p w:rsidR="002D3003" w:rsidRPr="00ED5991" w:rsidRDefault="002D3003" w:rsidP="004C1FE1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15" w:type="pct"/>
          </w:tcPr>
          <w:p w:rsidR="002D3003" w:rsidRPr="00ED5991" w:rsidRDefault="002D3003" w:rsidP="004C1FE1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D3003" w:rsidRPr="00ED5991" w:rsidTr="00E066E4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2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15" w:type="pct"/>
          </w:tcPr>
          <w:p w:rsidR="002D3003" w:rsidRPr="00E42A3F" w:rsidRDefault="002D3003" w:rsidP="00B01AD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2D3003" w:rsidRPr="00ED5991" w:rsidRDefault="002D3003" w:rsidP="00B01AD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ED5991" w:rsidRDefault="002D3003" w:rsidP="00B01AD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2D3003" w:rsidRPr="00ED3784" w:rsidRDefault="002D3003" w:rsidP="00B01AD6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3A04C1" w:rsidRPr="00ED5991" w:rsidTr="00E066E4">
        <w:trPr>
          <w:tblCellSpacing w:w="22" w:type="dxa"/>
        </w:trPr>
        <w:tc>
          <w:tcPr>
            <w:tcW w:w="157" w:type="pct"/>
          </w:tcPr>
          <w:p w:rsidR="003A04C1" w:rsidRPr="00ED5991" w:rsidRDefault="003A04C1" w:rsidP="003A04C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2" w:type="pct"/>
          </w:tcPr>
          <w:p w:rsidR="003A04C1" w:rsidRPr="00ED5991" w:rsidRDefault="003A04C1" w:rsidP="003A04C1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15" w:type="pct"/>
          </w:tcPr>
          <w:p w:rsidR="003A04C1" w:rsidRPr="00E1065C" w:rsidRDefault="003A04C1" w:rsidP="00B01AD6">
            <w:pPr>
              <w:tabs>
                <w:tab w:val="left" w:pos="5966"/>
              </w:tabs>
              <w:spacing w:line="240" w:lineRule="auto"/>
              <w:ind w:left="154" w:right="166"/>
              <w:jc w:val="both"/>
              <w:rPr>
                <w:sz w:val="24"/>
                <w:szCs w:val="24"/>
                <w:lang w:eastAsia="ru-RU"/>
              </w:rPr>
            </w:pPr>
            <w:r w:rsidRPr="00E1065C">
              <w:rPr>
                <w:sz w:val="24"/>
                <w:szCs w:val="24"/>
                <w:lang w:eastAsia="ru-RU"/>
              </w:rPr>
              <w:t>Знання:</w:t>
            </w:r>
          </w:p>
          <w:p w:rsidR="003A04C1" w:rsidRDefault="003A04C1" w:rsidP="00B01AD6">
            <w:pPr>
              <w:tabs>
                <w:tab w:val="left" w:pos="596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1065C">
              <w:rPr>
                <w:sz w:val="24"/>
                <w:szCs w:val="24"/>
              </w:rPr>
              <w:t xml:space="preserve">- Закону України “Про державні фінансові гарантії медичного обслуговування населення”; </w:t>
            </w:r>
          </w:p>
          <w:p w:rsidR="003A04C1" w:rsidRDefault="003A04C1" w:rsidP="00B01AD6">
            <w:pPr>
              <w:tabs>
                <w:tab w:val="left" w:pos="596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1065C">
              <w:rPr>
                <w:sz w:val="24"/>
                <w:szCs w:val="24"/>
              </w:rPr>
              <w:t>- Постанови Кабінету Міністрів України від 27.12.2017</w:t>
            </w:r>
            <w:r>
              <w:rPr>
                <w:sz w:val="24"/>
                <w:szCs w:val="24"/>
              </w:rPr>
              <w:t xml:space="preserve">        </w:t>
            </w:r>
            <w:r w:rsidRPr="00E1065C">
              <w:rPr>
                <w:sz w:val="24"/>
                <w:szCs w:val="24"/>
              </w:rPr>
              <w:t xml:space="preserve"> № 1101 “Про утворення Національної служби здоров’я України”;</w:t>
            </w:r>
          </w:p>
          <w:p w:rsidR="003A04C1" w:rsidRDefault="003A04C1" w:rsidP="00B01AD6">
            <w:pPr>
              <w:tabs>
                <w:tab w:val="left" w:pos="596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1065C">
              <w:rPr>
                <w:sz w:val="24"/>
                <w:szCs w:val="24"/>
              </w:rPr>
              <w:t xml:space="preserve">- Постанови Кабінету Міністрів України від 25.04.2018 </w:t>
            </w:r>
            <w:r>
              <w:rPr>
                <w:sz w:val="24"/>
                <w:szCs w:val="24"/>
              </w:rPr>
              <w:br/>
            </w:r>
            <w:r w:rsidRPr="00E1065C">
              <w:rPr>
                <w:sz w:val="24"/>
                <w:szCs w:val="24"/>
              </w:rPr>
              <w:t>№ 410 “Про договори про медичне обслуговування населення за програмою медичних гарантій”;</w:t>
            </w:r>
          </w:p>
          <w:p w:rsidR="003A04C1" w:rsidRDefault="003A04C1" w:rsidP="00B01AD6">
            <w:pPr>
              <w:tabs>
                <w:tab w:val="left" w:pos="596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1065C">
              <w:rPr>
                <w:sz w:val="24"/>
                <w:szCs w:val="24"/>
              </w:rPr>
              <w:t xml:space="preserve">- Постанови Кабінету Міністрів України від 25.04.2018 </w:t>
            </w:r>
            <w:r>
              <w:rPr>
                <w:sz w:val="24"/>
                <w:szCs w:val="24"/>
              </w:rPr>
              <w:br/>
            </w:r>
            <w:r w:rsidRPr="00E1065C">
              <w:rPr>
                <w:sz w:val="24"/>
                <w:szCs w:val="24"/>
              </w:rPr>
              <w:t>№ 411 “Деякі питання електронної системи охорони здоров’я”;</w:t>
            </w:r>
          </w:p>
          <w:p w:rsidR="003A04C1" w:rsidRDefault="003A04C1" w:rsidP="00B01AD6">
            <w:pPr>
              <w:tabs>
                <w:tab w:val="left" w:pos="596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1065C">
              <w:rPr>
                <w:sz w:val="24"/>
                <w:szCs w:val="24"/>
              </w:rPr>
              <w:t xml:space="preserve">- Постанови Кабінету Міністрів України від 28.03.2018 </w:t>
            </w:r>
            <w:r>
              <w:rPr>
                <w:sz w:val="24"/>
                <w:szCs w:val="24"/>
              </w:rPr>
              <w:br/>
            </w:r>
            <w:r w:rsidRPr="00E1065C">
              <w:rPr>
                <w:sz w:val="24"/>
                <w:szCs w:val="24"/>
              </w:rPr>
              <w:t xml:space="preserve">№ 391 “Про затвердження вимог 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населення”; </w:t>
            </w:r>
          </w:p>
          <w:p w:rsidR="003A04C1" w:rsidRPr="00E1065C" w:rsidRDefault="003A04C1" w:rsidP="00B01A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1065C">
              <w:rPr>
                <w:sz w:val="24"/>
                <w:szCs w:val="24"/>
              </w:rPr>
              <w:t xml:space="preserve">- </w:t>
            </w:r>
            <w:r w:rsidR="00DB1836">
              <w:rPr>
                <w:rFonts w:ascii="TimesNewRomanPSMT" w:eastAsiaTheme="minorHAnsi" w:hAnsi="TimesNewRomanPSMT" w:cs="TimesNewRomanPSMT"/>
                <w:sz w:val="24"/>
                <w:szCs w:val="24"/>
              </w:rPr>
              <w:t>Постанови Кабінету Міністрів України від 27.12.2017          № 1075 “Методика розрахунку вартості послуги з медичного обслуговування”</w:t>
            </w:r>
          </w:p>
        </w:tc>
      </w:tr>
      <w:tr w:rsidR="003A04C1" w:rsidRPr="00ED5991" w:rsidTr="00E066E4">
        <w:trPr>
          <w:tblCellSpacing w:w="22" w:type="dxa"/>
        </w:trPr>
        <w:tc>
          <w:tcPr>
            <w:tcW w:w="157" w:type="pct"/>
          </w:tcPr>
          <w:p w:rsidR="003A04C1" w:rsidRPr="00ED5991" w:rsidRDefault="003A04C1" w:rsidP="003A04C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3A04C1" w:rsidRPr="00CC6B0E" w:rsidRDefault="00DB1836" w:rsidP="00DB183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Знання системи проведення підготовчої роботи для здійснення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оплат</w:t>
            </w:r>
            <w:proofErr w:type="spellEnd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за договорами про медичне обслуговування населення за програмою медичних гарантій</w:t>
            </w:r>
          </w:p>
        </w:tc>
        <w:tc>
          <w:tcPr>
            <w:tcW w:w="3015" w:type="pct"/>
            <w:shd w:val="clear" w:color="auto" w:fill="auto"/>
          </w:tcPr>
          <w:p w:rsidR="00DB1836" w:rsidRDefault="00DB1836" w:rsidP="00B01A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Розробка управлінської звітності за договорами про медичне обслуговування населення за програмою медичних гарантій;</w:t>
            </w:r>
          </w:p>
          <w:p w:rsidR="003A04C1" w:rsidRPr="00CC6B0E" w:rsidRDefault="00DB1836" w:rsidP="00B01A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проведення аналізу стану виконання умов договорів про</w:t>
            </w:r>
            <w:r w:rsidR="00B01AD6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медичне обслуговування населення за програмою медичних гарантій в частині своєчасності проведення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оплат</w:t>
            </w:r>
            <w:proofErr w:type="spellEnd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за надані медичні послуги</w:t>
            </w:r>
          </w:p>
        </w:tc>
      </w:tr>
    </w:tbl>
    <w:p w:rsidR="00D465EF" w:rsidRPr="002D3003" w:rsidRDefault="00146E0C" w:rsidP="002410A2"/>
    <w:sectPr w:rsidR="00D465EF" w:rsidRPr="002D3003" w:rsidSect="002410A2">
      <w:pgSz w:w="11906" w:h="16838"/>
      <w:pgMar w:top="567" w:right="426" w:bottom="426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0D4"/>
    <w:multiLevelType w:val="hybridMultilevel"/>
    <w:tmpl w:val="0DB2A5E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5967"/>
    <w:multiLevelType w:val="hybridMultilevel"/>
    <w:tmpl w:val="34BA511E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5156"/>
    <w:multiLevelType w:val="hybridMultilevel"/>
    <w:tmpl w:val="0BB47624"/>
    <w:lvl w:ilvl="0" w:tplc="0422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23356ACC"/>
    <w:multiLevelType w:val="hybridMultilevel"/>
    <w:tmpl w:val="F194407E"/>
    <w:lvl w:ilvl="0" w:tplc="037C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5539B"/>
    <w:multiLevelType w:val="hybridMultilevel"/>
    <w:tmpl w:val="43045064"/>
    <w:lvl w:ilvl="0" w:tplc="CF36F990">
      <w:start w:val="1"/>
      <w:numFmt w:val="bullet"/>
      <w:lvlText w:val="-"/>
      <w:lvlJc w:val="left"/>
      <w:pPr>
        <w:ind w:left="905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5" w15:restartNumberingAfterBreak="0">
    <w:nsid w:val="4DCE0ABC"/>
    <w:multiLevelType w:val="hybridMultilevel"/>
    <w:tmpl w:val="FA28552A"/>
    <w:lvl w:ilvl="0" w:tplc="A6AA3844">
      <w:start w:val="1"/>
      <w:numFmt w:val="bullet"/>
      <w:lvlText w:val="-"/>
      <w:lvlJc w:val="left"/>
      <w:pPr>
        <w:ind w:left="2061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4F7B6AD0"/>
    <w:multiLevelType w:val="hybridMultilevel"/>
    <w:tmpl w:val="9E4AE9BE"/>
    <w:lvl w:ilvl="0" w:tplc="CF6ACE5E">
      <w:numFmt w:val="bullet"/>
      <w:lvlText w:val="-"/>
      <w:lvlJc w:val="left"/>
      <w:pPr>
        <w:ind w:left="5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7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8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B"/>
    <w:rsid w:val="00055168"/>
    <w:rsid w:val="000715B7"/>
    <w:rsid w:val="000B3060"/>
    <w:rsid w:val="000E6F1D"/>
    <w:rsid w:val="000F6B0A"/>
    <w:rsid w:val="00146E0C"/>
    <w:rsid w:val="0016652F"/>
    <w:rsid w:val="00185F86"/>
    <w:rsid w:val="002410A2"/>
    <w:rsid w:val="002D3003"/>
    <w:rsid w:val="002E4111"/>
    <w:rsid w:val="003A04C1"/>
    <w:rsid w:val="003B0955"/>
    <w:rsid w:val="004D1063"/>
    <w:rsid w:val="005F6EC6"/>
    <w:rsid w:val="0060577B"/>
    <w:rsid w:val="00655AC2"/>
    <w:rsid w:val="006C04DB"/>
    <w:rsid w:val="006F141D"/>
    <w:rsid w:val="0070504A"/>
    <w:rsid w:val="00906BE3"/>
    <w:rsid w:val="00924E31"/>
    <w:rsid w:val="00973F1F"/>
    <w:rsid w:val="00A96878"/>
    <w:rsid w:val="00B01AD6"/>
    <w:rsid w:val="00B725A4"/>
    <w:rsid w:val="00BF0546"/>
    <w:rsid w:val="00C31F74"/>
    <w:rsid w:val="00CA1712"/>
    <w:rsid w:val="00CB3C06"/>
    <w:rsid w:val="00CC6B0E"/>
    <w:rsid w:val="00D61E36"/>
    <w:rsid w:val="00DB1836"/>
    <w:rsid w:val="00DC18C5"/>
    <w:rsid w:val="00DE03F8"/>
    <w:rsid w:val="00E066E4"/>
    <w:rsid w:val="00E12C27"/>
    <w:rsid w:val="00E70A52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AA57"/>
  <w15:chartTrackingRefBased/>
  <w15:docId w15:val="{68F4F61D-9314-43F4-86C1-CEA05627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9B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F37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2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F3729B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F3729B"/>
  </w:style>
  <w:style w:type="paragraph" w:customStyle="1" w:styleId="rvps14">
    <w:name w:val="rvps14"/>
    <w:basedOn w:val="a"/>
    <w:uiPriority w:val="99"/>
    <w:rsid w:val="00F3729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F3729B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F3729B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E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61E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5887</Words>
  <Characters>3357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11</cp:revision>
  <dcterms:created xsi:type="dcterms:W3CDTF">2021-11-22T09:36:00Z</dcterms:created>
  <dcterms:modified xsi:type="dcterms:W3CDTF">2021-11-26T13:44:00Z</dcterms:modified>
</cp:coreProperties>
</file>