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722650" w:rsidRPr="00ED5991" w:rsidTr="00FB6D9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2650" w:rsidRPr="00627C97" w:rsidRDefault="00722650" w:rsidP="00FB6D90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Додаток 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  <w:p w:rsidR="00722650" w:rsidRPr="00B91378" w:rsidRDefault="00722650" w:rsidP="00FB6D9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722650" w:rsidRPr="00B91378" w:rsidRDefault="00722650" w:rsidP="00FB6D9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722650" w:rsidRPr="00ED5991" w:rsidRDefault="00722650" w:rsidP="002F765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2F765F" w:rsidRPr="002F765F">
              <w:rPr>
                <w:color w:val="000000"/>
                <w:sz w:val="24"/>
                <w:szCs w:val="24"/>
                <w:lang w:val="ru-RU"/>
              </w:rPr>
              <w:t>28.12.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D3154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2F765F" w:rsidRPr="002F765F">
              <w:rPr>
                <w:sz w:val="24"/>
                <w:szCs w:val="24"/>
                <w:lang w:val="ru-RU"/>
              </w:rPr>
              <w:t xml:space="preserve">898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722650" w:rsidRPr="00ED5991" w:rsidRDefault="00722650" w:rsidP="00722650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722650" w:rsidRPr="00EC6E74" w:rsidRDefault="00722650" w:rsidP="00722650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722650" w:rsidRDefault="00722650" w:rsidP="00722650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C6E74">
        <w:rPr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sz w:val="24"/>
          <w:szCs w:val="24"/>
        </w:rPr>
        <w:t>“</w:t>
      </w:r>
      <w:r w:rsidRPr="00EC6E74">
        <w:rPr>
          <w:bCs/>
          <w:sz w:val="24"/>
          <w:szCs w:val="24"/>
        </w:rPr>
        <w:t>В</w:t>
      </w:r>
      <w:r w:rsidRPr="00EC6E74">
        <w:rPr>
          <w:sz w:val="24"/>
          <w:szCs w:val="24"/>
        </w:rPr>
        <w:t>” –</w:t>
      </w:r>
    </w:p>
    <w:p w:rsidR="00722650" w:rsidRPr="00E70A52" w:rsidRDefault="00722650" w:rsidP="00722650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70A52">
        <w:rPr>
          <w:sz w:val="24"/>
          <w:szCs w:val="24"/>
        </w:rPr>
        <w:t>головного спеціаліста відділу роботи з договорами щодо спеціалізованої медичної допомоги по Східному та Північному регіонах управління роботи з договорами щодо спеціалізованої медичної допомоги Департаменту договірної роботи</w:t>
      </w: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76"/>
        <w:gridCol w:w="6244"/>
      </w:tblGrid>
      <w:tr w:rsidR="00722650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722650" w:rsidRPr="00ED5991" w:rsidRDefault="00722650" w:rsidP="00FB6D90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722650" w:rsidRPr="00ED5991" w:rsidTr="00FB6D90">
        <w:trPr>
          <w:tblCellSpacing w:w="22" w:type="dxa"/>
        </w:trPr>
        <w:tc>
          <w:tcPr>
            <w:tcW w:w="1903" w:type="pct"/>
            <w:gridSpan w:val="2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32" w:type="pct"/>
            <w:shd w:val="clear" w:color="auto" w:fill="auto"/>
          </w:tcPr>
          <w:p w:rsidR="00722650" w:rsidRPr="00924E31" w:rsidRDefault="00722650" w:rsidP="00722650">
            <w:pPr>
              <w:pStyle w:val="a3"/>
              <w:numPr>
                <w:ilvl w:val="0"/>
                <w:numId w:val="4"/>
              </w:numPr>
              <w:tabs>
                <w:tab w:val="left" w:pos="1560"/>
              </w:tabs>
              <w:spacing w:after="80" w:line="240" w:lineRule="auto"/>
              <w:ind w:left="224" w:hanging="224"/>
              <w:jc w:val="both"/>
              <w:rPr>
                <w:sz w:val="24"/>
                <w:szCs w:val="24"/>
              </w:rPr>
            </w:pPr>
            <w:r w:rsidRPr="00924E31">
              <w:rPr>
                <w:sz w:val="24"/>
                <w:szCs w:val="24"/>
              </w:rPr>
              <w:t>проводить підготовчу роботу для укладення договорів про медичне обслуговування населення за програмою медичних гарантій щодо спеціалізованої медичної допомоги</w:t>
            </w:r>
            <w:r>
              <w:rPr>
                <w:sz w:val="24"/>
                <w:szCs w:val="24"/>
              </w:rPr>
              <w:t xml:space="preserve"> (далі – СМД)</w:t>
            </w:r>
            <w:r w:rsidRPr="00924E31">
              <w:rPr>
                <w:sz w:val="24"/>
                <w:szCs w:val="24"/>
              </w:rPr>
              <w:t xml:space="preserve"> із закладами охорони здоров’я, що розташовані на території відповідних областей</w:t>
            </w:r>
            <w:r>
              <w:rPr>
                <w:sz w:val="24"/>
                <w:szCs w:val="24"/>
              </w:rPr>
              <w:t>;</w:t>
            </w:r>
          </w:p>
          <w:p w:rsidR="00722650" w:rsidRPr="00924E31" w:rsidRDefault="00722650" w:rsidP="00722650">
            <w:pPr>
              <w:pStyle w:val="a3"/>
              <w:numPr>
                <w:ilvl w:val="0"/>
                <w:numId w:val="4"/>
              </w:numPr>
              <w:tabs>
                <w:tab w:val="left" w:pos="1560"/>
              </w:tabs>
              <w:spacing w:after="80" w:line="240" w:lineRule="auto"/>
              <w:ind w:left="224" w:hanging="224"/>
              <w:jc w:val="both"/>
              <w:rPr>
                <w:sz w:val="24"/>
                <w:szCs w:val="24"/>
              </w:rPr>
            </w:pPr>
            <w:r w:rsidRPr="00924E31">
              <w:rPr>
                <w:sz w:val="24"/>
                <w:szCs w:val="24"/>
              </w:rPr>
              <w:t>проводить перевірку відповідності закладів охорони здоров’я вимогам, передбаченим законодавством для укладення договорів про медичне обслуговування населення, у порядку, визначеному наказом НСЗУ</w:t>
            </w:r>
            <w:r>
              <w:rPr>
                <w:sz w:val="24"/>
                <w:szCs w:val="24"/>
              </w:rPr>
              <w:t>;</w:t>
            </w:r>
          </w:p>
          <w:p w:rsidR="00722650" w:rsidRPr="00924E31" w:rsidRDefault="00722650" w:rsidP="00722650">
            <w:pPr>
              <w:pStyle w:val="a3"/>
              <w:numPr>
                <w:ilvl w:val="0"/>
                <w:numId w:val="4"/>
              </w:numPr>
              <w:tabs>
                <w:tab w:val="left" w:pos="1560"/>
              </w:tabs>
              <w:spacing w:after="80" w:line="240" w:lineRule="auto"/>
              <w:ind w:left="224" w:hanging="224"/>
              <w:jc w:val="both"/>
              <w:rPr>
                <w:sz w:val="24"/>
                <w:szCs w:val="24"/>
              </w:rPr>
            </w:pPr>
            <w:r w:rsidRPr="00924E31">
              <w:rPr>
                <w:sz w:val="24"/>
                <w:szCs w:val="24"/>
              </w:rPr>
              <w:t>здійснює роботу щодо укладення, зміни та припинення договорів щодо СМД із закладами охорони здоров’я, що розташовані на території відповідних областей</w:t>
            </w:r>
            <w:r>
              <w:rPr>
                <w:sz w:val="24"/>
                <w:szCs w:val="24"/>
              </w:rPr>
              <w:t>;</w:t>
            </w:r>
            <w:r w:rsidRPr="00924E31">
              <w:rPr>
                <w:sz w:val="24"/>
                <w:szCs w:val="24"/>
              </w:rPr>
              <w:t xml:space="preserve"> </w:t>
            </w:r>
          </w:p>
          <w:p w:rsidR="00722650" w:rsidRPr="00924E31" w:rsidRDefault="00722650" w:rsidP="00722650">
            <w:pPr>
              <w:pStyle w:val="a3"/>
              <w:numPr>
                <w:ilvl w:val="0"/>
                <w:numId w:val="4"/>
              </w:numPr>
              <w:tabs>
                <w:tab w:val="left" w:pos="1560"/>
              </w:tabs>
              <w:spacing w:after="80" w:line="240" w:lineRule="auto"/>
              <w:ind w:left="224" w:hanging="224"/>
              <w:jc w:val="both"/>
              <w:rPr>
                <w:sz w:val="24"/>
                <w:szCs w:val="24"/>
              </w:rPr>
            </w:pPr>
            <w:r w:rsidRPr="00924E31">
              <w:rPr>
                <w:sz w:val="24"/>
                <w:szCs w:val="24"/>
              </w:rPr>
              <w:t>взаємодіє з надавачами медичних послуг з питань, що належать до компетенції відділу</w:t>
            </w:r>
            <w:r>
              <w:rPr>
                <w:sz w:val="24"/>
                <w:szCs w:val="24"/>
              </w:rPr>
              <w:t>;</w:t>
            </w:r>
            <w:r w:rsidRPr="00924E31">
              <w:rPr>
                <w:sz w:val="24"/>
                <w:szCs w:val="24"/>
              </w:rPr>
              <w:t xml:space="preserve"> </w:t>
            </w:r>
          </w:p>
          <w:p w:rsidR="00722650" w:rsidRPr="00924E31" w:rsidRDefault="00722650" w:rsidP="00722650">
            <w:pPr>
              <w:pStyle w:val="a3"/>
              <w:numPr>
                <w:ilvl w:val="0"/>
                <w:numId w:val="4"/>
              </w:numPr>
              <w:tabs>
                <w:tab w:val="left" w:pos="1560"/>
              </w:tabs>
              <w:spacing w:after="80" w:line="240" w:lineRule="auto"/>
              <w:ind w:left="224" w:hanging="224"/>
              <w:jc w:val="both"/>
              <w:rPr>
                <w:sz w:val="24"/>
                <w:szCs w:val="24"/>
              </w:rPr>
            </w:pPr>
            <w:r w:rsidRPr="00924E31">
              <w:rPr>
                <w:sz w:val="24"/>
                <w:szCs w:val="24"/>
              </w:rPr>
              <w:t>взаємодіє з відділами договірної роботи територіальних органів НСЗУ з питань, що належать до компетенції відділу</w:t>
            </w:r>
            <w:r>
              <w:rPr>
                <w:sz w:val="24"/>
                <w:szCs w:val="24"/>
              </w:rPr>
              <w:t>;</w:t>
            </w:r>
          </w:p>
          <w:p w:rsidR="00722650" w:rsidRPr="00924E31" w:rsidRDefault="00722650" w:rsidP="00722650">
            <w:pPr>
              <w:pStyle w:val="a3"/>
              <w:numPr>
                <w:ilvl w:val="0"/>
                <w:numId w:val="4"/>
              </w:numPr>
              <w:tabs>
                <w:tab w:val="left" w:pos="1560"/>
              </w:tabs>
              <w:spacing w:after="80" w:line="240" w:lineRule="auto"/>
              <w:ind w:left="224" w:hanging="224"/>
              <w:jc w:val="both"/>
              <w:rPr>
                <w:sz w:val="24"/>
                <w:szCs w:val="24"/>
              </w:rPr>
            </w:pPr>
            <w:r w:rsidRPr="00924E31">
              <w:rPr>
                <w:sz w:val="24"/>
                <w:szCs w:val="24"/>
              </w:rPr>
              <w:t>здійснює підготовку інструкцій (</w:t>
            </w:r>
            <w:proofErr w:type="spellStart"/>
            <w:r w:rsidRPr="00924E31">
              <w:rPr>
                <w:sz w:val="24"/>
                <w:szCs w:val="24"/>
              </w:rPr>
              <w:t>скриптів</w:t>
            </w:r>
            <w:proofErr w:type="spellEnd"/>
            <w:r w:rsidRPr="00924E31">
              <w:rPr>
                <w:sz w:val="24"/>
                <w:szCs w:val="24"/>
              </w:rPr>
              <w:t>) для відповідей операторами інформаційно-довідкової служби НСЗУ з питань СМД</w:t>
            </w:r>
            <w:r>
              <w:rPr>
                <w:sz w:val="24"/>
                <w:szCs w:val="24"/>
              </w:rPr>
              <w:t>;</w:t>
            </w:r>
          </w:p>
          <w:p w:rsidR="00722650" w:rsidRPr="00924E31" w:rsidRDefault="00722650" w:rsidP="00722650">
            <w:pPr>
              <w:pStyle w:val="a3"/>
              <w:numPr>
                <w:ilvl w:val="0"/>
                <w:numId w:val="4"/>
              </w:numPr>
              <w:tabs>
                <w:tab w:val="left" w:pos="1560"/>
              </w:tabs>
              <w:spacing w:after="80" w:line="240" w:lineRule="auto"/>
              <w:ind w:left="224" w:hanging="224"/>
              <w:jc w:val="both"/>
              <w:rPr>
                <w:sz w:val="24"/>
                <w:szCs w:val="24"/>
              </w:rPr>
            </w:pPr>
            <w:r w:rsidRPr="00924E31">
              <w:rPr>
                <w:sz w:val="24"/>
                <w:szCs w:val="24"/>
              </w:rPr>
              <w:t xml:space="preserve">бере участь у розробці </w:t>
            </w:r>
            <w:proofErr w:type="spellStart"/>
            <w:r w:rsidRPr="00924E31">
              <w:rPr>
                <w:sz w:val="24"/>
                <w:szCs w:val="24"/>
              </w:rPr>
              <w:t>проєктів</w:t>
            </w:r>
            <w:proofErr w:type="spellEnd"/>
            <w:r w:rsidRPr="00924E31">
              <w:rPr>
                <w:sz w:val="24"/>
                <w:szCs w:val="24"/>
              </w:rPr>
              <w:t xml:space="preserve"> організаційно</w:t>
            </w:r>
            <w:r>
              <w:rPr>
                <w:sz w:val="24"/>
                <w:szCs w:val="24"/>
              </w:rPr>
              <w:t>-</w:t>
            </w:r>
            <w:r w:rsidRPr="00924E31">
              <w:rPr>
                <w:sz w:val="24"/>
                <w:szCs w:val="24"/>
              </w:rPr>
              <w:t>розпорядчих документів з питань, що належать до компетенції відділу</w:t>
            </w:r>
            <w:r>
              <w:rPr>
                <w:sz w:val="24"/>
                <w:szCs w:val="24"/>
              </w:rPr>
              <w:t>;</w:t>
            </w:r>
          </w:p>
          <w:p w:rsidR="00722650" w:rsidRPr="00924E31" w:rsidRDefault="00722650" w:rsidP="00722650">
            <w:pPr>
              <w:pStyle w:val="a3"/>
              <w:numPr>
                <w:ilvl w:val="0"/>
                <w:numId w:val="4"/>
              </w:numPr>
              <w:tabs>
                <w:tab w:val="left" w:pos="1560"/>
              </w:tabs>
              <w:spacing w:after="80" w:line="240" w:lineRule="auto"/>
              <w:ind w:left="224" w:hanging="224"/>
              <w:jc w:val="both"/>
              <w:rPr>
                <w:color w:val="000000"/>
                <w:sz w:val="24"/>
                <w:szCs w:val="24"/>
              </w:rPr>
            </w:pPr>
            <w:r w:rsidRPr="00924E31">
              <w:rPr>
                <w:sz w:val="24"/>
                <w:szCs w:val="24"/>
              </w:rPr>
              <w:t>розглядає звернення громадян, запити на отримання публічної інформації, звернення та запити адвокатів і народних депутатів України, листи органів державної влади, органів місцевого самоврядування, об</w:t>
            </w:r>
            <w:r>
              <w:rPr>
                <w:sz w:val="24"/>
                <w:szCs w:val="24"/>
              </w:rPr>
              <w:t>’</w:t>
            </w:r>
            <w:r w:rsidRPr="00924E31">
              <w:rPr>
                <w:sz w:val="24"/>
                <w:szCs w:val="24"/>
              </w:rPr>
              <w:t>єднань громадян, підприємств, установ, організацій незалежно від форми власності, їх посадових та службових осіб з питань, що належать до компетенції відділу</w:t>
            </w:r>
          </w:p>
        </w:tc>
      </w:tr>
      <w:tr w:rsidR="00722650" w:rsidRPr="00ED5991" w:rsidTr="00FB6D90">
        <w:trPr>
          <w:tblCellSpacing w:w="22" w:type="dxa"/>
        </w:trPr>
        <w:tc>
          <w:tcPr>
            <w:tcW w:w="1903" w:type="pct"/>
            <w:gridSpan w:val="2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32" w:type="pct"/>
          </w:tcPr>
          <w:p w:rsidR="00722650" w:rsidRPr="00D91231" w:rsidRDefault="00722650" w:rsidP="00FB6D90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722650" w:rsidRDefault="00722650" w:rsidP="00FB6D90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722650" w:rsidRPr="00FD11AB" w:rsidRDefault="00722650" w:rsidP="00FB6D90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722650" w:rsidRPr="00ED5991" w:rsidTr="00FB6D90">
        <w:trPr>
          <w:tblCellSpacing w:w="22" w:type="dxa"/>
        </w:trPr>
        <w:tc>
          <w:tcPr>
            <w:tcW w:w="1903" w:type="pct"/>
            <w:gridSpan w:val="2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32" w:type="pct"/>
          </w:tcPr>
          <w:p w:rsidR="00722650" w:rsidRDefault="00722650" w:rsidP="00FB6D90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722650" w:rsidRDefault="00722650" w:rsidP="00FB6D90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722650" w:rsidRPr="00ED5991" w:rsidRDefault="00722650" w:rsidP="00FB6D90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22650" w:rsidRPr="00ED5991" w:rsidTr="00FB6D90">
        <w:trPr>
          <w:tblCellSpacing w:w="22" w:type="dxa"/>
        </w:trPr>
        <w:tc>
          <w:tcPr>
            <w:tcW w:w="1903" w:type="pct"/>
            <w:gridSpan w:val="2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32" w:type="pct"/>
          </w:tcPr>
          <w:p w:rsidR="00722650" w:rsidRPr="00416ED7" w:rsidRDefault="00722650" w:rsidP="00FB6D9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22650" w:rsidRPr="00416ED7" w:rsidRDefault="00722650" w:rsidP="00FB6D9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722650" w:rsidRPr="00416ED7" w:rsidRDefault="00722650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722650" w:rsidRPr="00416ED7" w:rsidRDefault="00722650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722650" w:rsidRPr="00416ED7" w:rsidRDefault="00722650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722650" w:rsidRPr="00416ED7" w:rsidRDefault="00722650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22650" w:rsidRDefault="00722650" w:rsidP="00FB6D9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722650" w:rsidRDefault="00722650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722650" w:rsidRPr="00281173" w:rsidRDefault="00722650" w:rsidP="00FB6D9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22650" w:rsidRDefault="00722650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650" w:rsidRPr="00D3154A" w:rsidRDefault="00722650" w:rsidP="00FB6D90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4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722650" w:rsidRPr="00FB2759" w:rsidRDefault="00722650" w:rsidP="00FB6D90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722650" w:rsidRPr="00D3154A" w:rsidRDefault="00722650" w:rsidP="002F765F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0B3060">
              <w:t xml:space="preserve">до 17 год 00 хв </w:t>
            </w:r>
            <w:r w:rsidR="002F765F" w:rsidRPr="002F765F">
              <w:rPr>
                <w:lang w:val="ru-RU"/>
              </w:rPr>
              <w:t>13</w:t>
            </w:r>
            <w:r w:rsidRPr="000B3060">
              <w:rPr>
                <w:shd w:val="clear" w:color="auto" w:fill="FFFFFF" w:themeFill="background1"/>
              </w:rPr>
              <w:t xml:space="preserve"> </w:t>
            </w:r>
            <w:r w:rsidR="002F765F">
              <w:rPr>
                <w:shd w:val="clear" w:color="auto" w:fill="FFFFFF" w:themeFill="background1"/>
              </w:rPr>
              <w:t>січня</w:t>
            </w:r>
            <w:r w:rsidRPr="006C04DB">
              <w:rPr>
                <w:shd w:val="clear" w:color="auto" w:fill="FFFFFF" w:themeFill="background1"/>
              </w:rPr>
              <w:t xml:space="preserve">                     202</w:t>
            </w:r>
            <w:r w:rsidR="002F765F">
              <w:rPr>
                <w:shd w:val="clear" w:color="auto" w:fill="FFFFFF" w:themeFill="background1"/>
              </w:rPr>
              <w:t>2</w:t>
            </w:r>
            <w:r w:rsidRPr="006C04DB">
              <w:rPr>
                <w:shd w:val="clear" w:color="auto" w:fill="FFFFFF" w:themeFill="background1"/>
              </w:rPr>
              <w:t xml:space="preserve"> року</w:t>
            </w:r>
          </w:p>
        </w:tc>
      </w:tr>
      <w:tr w:rsidR="00722650" w:rsidRPr="00ED5991" w:rsidTr="00FB6D90">
        <w:trPr>
          <w:tblCellSpacing w:w="22" w:type="dxa"/>
        </w:trPr>
        <w:tc>
          <w:tcPr>
            <w:tcW w:w="1903" w:type="pct"/>
            <w:gridSpan w:val="2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32" w:type="pct"/>
          </w:tcPr>
          <w:p w:rsidR="00722650" w:rsidRPr="00ED5991" w:rsidRDefault="00722650" w:rsidP="00FB6D90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722650" w:rsidRPr="00ED5991" w:rsidTr="00FB6D90">
        <w:trPr>
          <w:tblCellSpacing w:w="22" w:type="dxa"/>
        </w:trPr>
        <w:tc>
          <w:tcPr>
            <w:tcW w:w="1903" w:type="pct"/>
            <w:gridSpan w:val="2"/>
          </w:tcPr>
          <w:p w:rsidR="00722650" w:rsidRDefault="00722650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722650" w:rsidRDefault="00722650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722650" w:rsidRDefault="00722650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22650" w:rsidRDefault="00722650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22650" w:rsidRDefault="00722650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22650" w:rsidRDefault="00722650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22650" w:rsidRDefault="00722650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співбесіди (із зазначенням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електронної платформи для комунікації дистанційно)</w:t>
            </w:r>
          </w:p>
          <w:p w:rsidR="00722650" w:rsidRDefault="00722650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22650" w:rsidRPr="00ED5991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32" w:type="pct"/>
          </w:tcPr>
          <w:p w:rsidR="00722650" w:rsidRPr="00D3154A" w:rsidRDefault="00722650" w:rsidP="00FB6D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B3060">
              <w:rPr>
                <w:sz w:val="24"/>
                <w:szCs w:val="24"/>
              </w:rPr>
              <w:lastRenderedPageBreak/>
              <w:t>1</w:t>
            </w:r>
            <w:r w:rsidR="002F765F">
              <w:rPr>
                <w:sz w:val="24"/>
                <w:szCs w:val="24"/>
              </w:rPr>
              <w:t>8</w:t>
            </w:r>
            <w:r w:rsidRPr="000B3060">
              <w:rPr>
                <w:sz w:val="24"/>
                <w:szCs w:val="24"/>
              </w:rPr>
              <w:t xml:space="preserve"> </w:t>
            </w:r>
            <w:r w:rsidR="002F765F">
              <w:rPr>
                <w:sz w:val="24"/>
                <w:szCs w:val="24"/>
              </w:rPr>
              <w:t>січня</w:t>
            </w:r>
            <w:r w:rsidRPr="000B3060">
              <w:rPr>
                <w:sz w:val="24"/>
                <w:szCs w:val="24"/>
              </w:rPr>
              <w:t xml:space="preserve"> 202</w:t>
            </w:r>
            <w:r w:rsidR="002F765F">
              <w:rPr>
                <w:sz w:val="24"/>
                <w:szCs w:val="24"/>
              </w:rPr>
              <w:t>2</w:t>
            </w:r>
            <w:r w:rsidRPr="000B3060">
              <w:rPr>
                <w:sz w:val="24"/>
                <w:szCs w:val="24"/>
              </w:rPr>
              <w:t xml:space="preserve"> року о 10 год 00 хв.</w:t>
            </w:r>
          </w:p>
          <w:p w:rsidR="00722650" w:rsidRDefault="00722650" w:rsidP="00FB6D9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722650" w:rsidRDefault="00722650" w:rsidP="00FB6D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722650" w:rsidRPr="00CD6C39" w:rsidRDefault="00722650" w:rsidP="00FB6D9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color w:val="auto"/>
                <w:sz w:val="24"/>
                <w:szCs w:val="24"/>
              </w:rPr>
              <w:t xml:space="preserve"> 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722650" w:rsidRDefault="00722650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22650" w:rsidRDefault="00722650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22650" w:rsidRDefault="00722650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22650" w:rsidRDefault="00722650" w:rsidP="00FB6D9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722650" w:rsidRPr="00D3154A" w:rsidRDefault="00722650" w:rsidP="00FB6D9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722650" w:rsidRPr="00D3154A" w:rsidRDefault="00722650" w:rsidP="00FB6D9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722650" w:rsidRPr="00D3154A" w:rsidRDefault="00722650" w:rsidP="00FB6D90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722650" w:rsidRPr="00ED5991" w:rsidTr="00FB6D90">
        <w:trPr>
          <w:trHeight w:val="1609"/>
          <w:tblCellSpacing w:w="22" w:type="dxa"/>
        </w:trPr>
        <w:tc>
          <w:tcPr>
            <w:tcW w:w="1903" w:type="pct"/>
            <w:gridSpan w:val="2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32" w:type="pct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r w:rsidRPr="000F6B0A">
              <w:rPr>
                <w:sz w:val="24"/>
                <w:szCs w:val="24"/>
              </w:rPr>
              <w:t xml:space="preserve"> 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722650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722650" w:rsidRPr="00DA0AC7" w:rsidRDefault="00722650" w:rsidP="00FB6D90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722650" w:rsidRPr="00ED5991" w:rsidTr="00FB6D90">
        <w:trPr>
          <w:tblCellSpacing w:w="22" w:type="dxa"/>
        </w:trPr>
        <w:tc>
          <w:tcPr>
            <w:tcW w:w="157" w:type="pct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32" w:type="pct"/>
          </w:tcPr>
          <w:p w:rsidR="00722650" w:rsidRPr="00DA0AC7" w:rsidRDefault="00722650" w:rsidP="00FB6D90">
            <w:pPr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22650" w:rsidRPr="00ED5991" w:rsidTr="00FB6D90">
        <w:trPr>
          <w:tblCellSpacing w:w="22" w:type="dxa"/>
        </w:trPr>
        <w:tc>
          <w:tcPr>
            <w:tcW w:w="157" w:type="pct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pct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32" w:type="pct"/>
          </w:tcPr>
          <w:p w:rsidR="00722650" w:rsidRPr="00DA0AC7" w:rsidRDefault="00722650" w:rsidP="00FB6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722650" w:rsidRPr="00ED5991" w:rsidTr="00FB6D90">
        <w:trPr>
          <w:tblCellSpacing w:w="22" w:type="dxa"/>
        </w:trPr>
        <w:tc>
          <w:tcPr>
            <w:tcW w:w="157" w:type="pct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pct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32" w:type="pct"/>
          </w:tcPr>
          <w:p w:rsidR="00722650" w:rsidRPr="00DA0AC7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722650" w:rsidRPr="00ED5991" w:rsidTr="00FB6D90">
        <w:trPr>
          <w:tblCellSpacing w:w="22" w:type="dxa"/>
        </w:trPr>
        <w:tc>
          <w:tcPr>
            <w:tcW w:w="157" w:type="pct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5" w:type="pct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32" w:type="pct"/>
          </w:tcPr>
          <w:p w:rsidR="00722650" w:rsidRPr="00DA0AC7" w:rsidRDefault="00722650" w:rsidP="00FB6D90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722650" w:rsidRPr="00ED5991" w:rsidTr="00FB6D90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722650" w:rsidRPr="007A6CCE" w:rsidRDefault="00722650" w:rsidP="00FB6D90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722650" w:rsidRPr="00ED5991" w:rsidTr="00FB6D90">
        <w:trPr>
          <w:tblCellSpacing w:w="22" w:type="dxa"/>
        </w:trPr>
        <w:tc>
          <w:tcPr>
            <w:tcW w:w="1903" w:type="pct"/>
            <w:gridSpan w:val="2"/>
          </w:tcPr>
          <w:p w:rsidR="00722650" w:rsidRPr="00ED5991" w:rsidRDefault="00722650" w:rsidP="00FB6D90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2" w:type="pct"/>
          </w:tcPr>
          <w:p w:rsidR="00722650" w:rsidRPr="007A6CCE" w:rsidRDefault="00722650" w:rsidP="00FB6D90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22650" w:rsidRPr="00ED5991" w:rsidTr="002F765F">
        <w:trPr>
          <w:trHeight w:val="1718"/>
          <w:tblCellSpacing w:w="22" w:type="dxa"/>
        </w:trPr>
        <w:tc>
          <w:tcPr>
            <w:tcW w:w="157" w:type="pct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0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722650" w:rsidRDefault="00722650" w:rsidP="00FB6D9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722650" w:rsidRPr="007A6CCE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22650" w:rsidRPr="00ED5991" w:rsidTr="00FB6D90">
        <w:trPr>
          <w:trHeight w:val="1898"/>
          <w:tblCellSpacing w:w="22" w:type="dxa"/>
        </w:trPr>
        <w:tc>
          <w:tcPr>
            <w:tcW w:w="157" w:type="pct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0" w:rsidRPr="007A6CCE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2650" w:rsidRPr="007A6CCE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2650" w:rsidRPr="007A6CCE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722650" w:rsidRPr="00ED5991" w:rsidTr="00FB6D90">
        <w:trPr>
          <w:trHeight w:val="1471"/>
          <w:tblCellSpacing w:w="22" w:type="dxa"/>
        </w:trPr>
        <w:tc>
          <w:tcPr>
            <w:tcW w:w="157" w:type="pct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0" w:rsidRPr="007A6CCE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2650" w:rsidRPr="007A6CCE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2650" w:rsidRPr="007A6CCE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2650" w:rsidRPr="007A6CCE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722650" w:rsidRPr="00ED5991" w:rsidTr="00FB6D90">
        <w:trPr>
          <w:trHeight w:val="1337"/>
          <w:tblCellSpacing w:w="22" w:type="dxa"/>
        </w:trPr>
        <w:tc>
          <w:tcPr>
            <w:tcW w:w="157" w:type="pct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50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0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722650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722650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722650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722650" w:rsidRPr="00ED5991" w:rsidRDefault="00722650" w:rsidP="00FB6D90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722650" w:rsidRPr="00ED5991" w:rsidTr="00FB6D90">
        <w:trPr>
          <w:tblCellSpacing w:w="22" w:type="dxa"/>
        </w:trPr>
        <w:tc>
          <w:tcPr>
            <w:tcW w:w="1903" w:type="pct"/>
            <w:gridSpan w:val="2"/>
          </w:tcPr>
          <w:p w:rsidR="00722650" w:rsidRPr="00ED5991" w:rsidRDefault="00722650" w:rsidP="00FB6D90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2" w:type="pct"/>
          </w:tcPr>
          <w:p w:rsidR="00722650" w:rsidRPr="00ED5991" w:rsidRDefault="00722650" w:rsidP="00FB6D90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22650" w:rsidRPr="00ED5991" w:rsidTr="00FB6D90">
        <w:trPr>
          <w:tblCellSpacing w:w="22" w:type="dxa"/>
        </w:trPr>
        <w:tc>
          <w:tcPr>
            <w:tcW w:w="157" w:type="pct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32" w:type="pct"/>
          </w:tcPr>
          <w:p w:rsidR="00722650" w:rsidRPr="00E42A3F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722650" w:rsidRPr="00ED5991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2650" w:rsidRPr="00ED5991" w:rsidRDefault="00722650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722650" w:rsidRPr="00ED3784" w:rsidRDefault="00722650" w:rsidP="00FB6D90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722650" w:rsidRPr="00ED5991" w:rsidTr="00FB6D90">
        <w:trPr>
          <w:tblCellSpacing w:w="22" w:type="dxa"/>
        </w:trPr>
        <w:tc>
          <w:tcPr>
            <w:tcW w:w="157" w:type="pct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pct"/>
          </w:tcPr>
          <w:p w:rsidR="00722650" w:rsidRPr="00ED5991" w:rsidRDefault="00722650" w:rsidP="00FB6D9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32" w:type="pct"/>
          </w:tcPr>
          <w:p w:rsidR="00722650" w:rsidRPr="00CC6B0E" w:rsidRDefault="00722650" w:rsidP="00722650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sz w:val="24"/>
                <w:szCs w:val="24"/>
              </w:rPr>
              <w:t xml:space="preserve">Знання: </w:t>
            </w:r>
          </w:p>
          <w:p w:rsidR="00722650" w:rsidRPr="00CC6B0E" w:rsidRDefault="00722650" w:rsidP="00722650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sz w:val="24"/>
                <w:szCs w:val="24"/>
              </w:rPr>
              <w:t xml:space="preserve">Закону України “Про державні фінансові гарантії медичного обслуговування населення”; </w:t>
            </w:r>
          </w:p>
          <w:p w:rsidR="00722650" w:rsidRPr="00CC6B0E" w:rsidRDefault="00722650" w:rsidP="00722650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sz w:val="24"/>
                <w:szCs w:val="24"/>
              </w:rPr>
              <w:t>Постанови Кабінету Міністрів України від 27.12.2017</w:t>
            </w:r>
            <w:r>
              <w:rPr>
                <w:sz w:val="24"/>
                <w:szCs w:val="24"/>
              </w:rPr>
              <w:t xml:space="preserve">   </w:t>
            </w:r>
            <w:r w:rsidRPr="00CC6B0E">
              <w:rPr>
                <w:sz w:val="24"/>
                <w:szCs w:val="24"/>
              </w:rPr>
              <w:t xml:space="preserve"> № 1101 “Про утворення Національної служби здоров’я України”;</w:t>
            </w:r>
          </w:p>
          <w:p w:rsidR="00722650" w:rsidRPr="00CC6B0E" w:rsidRDefault="00722650" w:rsidP="00722650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sz w:val="24"/>
                <w:szCs w:val="24"/>
              </w:rPr>
              <w:t>Постанови Кабінету Міністрів України від 25.04.2018</w:t>
            </w:r>
            <w:r>
              <w:rPr>
                <w:sz w:val="24"/>
                <w:szCs w:val="24"/>
              </w:rPr>
              <w:t xml:space="preserve">  </w:t>
            </w:r>
            <w:r w:rsidRPr="00CC6B0E">
              <w:rPr>
                <w:sz w:val="24"/>
                <w:szCs w:val="24"/>
              </w:rPr>
              <w:t xml:space="preserve"> № 411 “Деякі питання електронної системи охорони здоров’я”;</w:t>
            </w:r>
          </w:p>
          <w:p w:rsidR="002F765F" w:rsidRPr="002F765F" w:rsidRDefault="00722650" w:rsidP="00722650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sz w:val="24"/>
                <w:szCs w:val="24"/>
              </w:rPr>
              <w:t>Постанови Кабінету Міністрів України від 25.04.2018</w:t>
            </w:r>
            <w:r>
              <w:rPr>
                <w:sz w:val="24"/>
                <w:szCs w:val="24"/>
              </w:rPr>
              <w:t xml:space="preserve">  </w:t>
            </w:r>
            <w:r w:rsidRPr="00CC6B0E">
              <w:rPr>
                <w:sz w:val="24"/>
                <w:szCs w:val="24"/>
              </w:rPr>
              <w:t xml:space="preserve"> № 410 “Про договори про медичне обслуговування населення за програмою медичних гарантій”; </w:t>
            </w:r>
            <w:r>
              <w:rPr>
                <w:sz w:val="24"/>
                <w:szCs w:val="24"/>
              </w:rPr>
              <w:t xml:space="preserve"> </w:t>
            </w:r>
          </w:p>
          <w:p w:rsidR="00722650" w:rsidRPr="00CC6B0E" w:rsidRDefault="002F765F" w:rsidP="00722650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sz w:val="24"/>
                <w:szCs w:val="24"/>
              </w:rPr>
              <w:t xml:space="preserve">Постанови Кабінету Міністрів України від 28.03.2018 </w:t>
            </w:r>
            <w:r>
              <w:rPr>
                <w:sz w:val="24"/>
                <w:szCs w:val="24"/>
              </w:rPr>
              <w:t xml:space="preserve">  </w:t>
            </w:r>
            <w:r w:rsidRPr="00CC6B0E">
              <w:rPr>
                <w:sz w:val="24"/>
                <w:szCs w:val="24"/>
              </w:rPr>
              <w:t>№ 391 “Про затвердження вимог 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населення”</w:t>
            </w:r>
            <w:r>
              <w:rPr>
                <w:sz w:val="24"/>
                <w:szCs w:val="24"/>
              </w:rPr>
              <w:t>;</w:t>
            </w:r>
            <w:r w:rsidR="00722650">
              <w:rPr>
                <w:sz w:val="24"/>
                <w:szCs w:val="24"/>
              </w:rPr>
              <w:t xml:space="preserve">            </w:t>
            </w:r>
          </w:p>
          <w:p w:rsidR="00722650" w:rsidRDefault="00722650" w:rsidP="002F765F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274" w:hanging="27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C6B0E">
              <w:rPr>
                <w:sz w:val="24"/>
                <w:szCs w:val="24"/>
              </w:rPr>
              <w:t>Постанови Кабінету Міністрів України від 15.02.2021</w:t>
            </w:r>
            <w:r>
              <w:rPr>
                <w:sz w:val="24"/>
                <w:szCs w:val="24"/>
              </w:rPr>
              <w:t xml:space="preserve">   </w:t>
            </w:r>
            <w:r w:rsidRPr="00CC6B0E">
              <w:rPr>
                <w:sz w:val="24"/>
                <w:szCs w:val="24"/>
              </w:rPr>
              <w:t xml:space="preserve"> № 133 “Деякі питання реалізації програми державних гарантій медичного обслуговування населенн</w:t>
            </w:r>
            <w:r w:rsidR="002F765F">
              <w:rPr>
                <w:sz w:val="24"/>
                <w:szCs w:val="24"/>
              </w:rPr>
              <w:t>я у II-IV кварталах 2021 року”</w:t>
            </w:r>
          </w:p>
        </w:tc>
      </w:tr>
      <w:tr w:rsidR="00722650" w:rsidRPr="00ED5991" w:rsidTr="00FB6D90">
        <w:trPr>
          <w:tblCellSpacing w:w="22" w:type="dxa"/>
        </w:trPr>
        <w:tc>
          <w:tcPr>
            <w:tcW w:w="157" w:type="pct"/>
          </w:tcPr>
          <w:p w:rsidR="00722650" w:rsidRPr="00ED5991" w:rsidRDefault="00722650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pct"/>
            <w:shd w:val="clear" w:color="auto" w:fill="auto"/>
          </w:tcPr>
          <w:p w:rsidR="00722650" w:rsidRPr="00CC6B0E" w:rsidRDefault="00722650" w:rsidP="00FB6D90">
            <w:pPr>
              <w:tabs>
                <w:tab w:val="left" w:pos="1418"/>
              </w:tabs>
              <w:spacing w:line="240" w:lineRule="auto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6B0E">
              <w:rPr>
                <w:sz w:val="24"/>
                <w:szCs w:val="24"/>
              </w:rPr>
              <w:t>Знання системи роботи з договорами про медичне обслуговування населення</w:t>
            </w:r>
          </w:p>
        </w:tc>
        <w:tc>
          <w:tcPr>
            <w:tcW w:w="3032" w:type="pct"/>
            <w:shd w:val="clear" w:color="auto" w:fill="auto"/>
          </w:tcPr>
          <w:p w:rsidR="00722650" w:rsidRPr="00CC6B0E" w:rsidRDefault="00722650" w:rsidP="00FB6D9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C6B0E">
              <w:rPr>
                <w:sz w:val="24"/>
                <w:szCs w:val="24"/>
              </w:rPr>
              <w:t>Забезпечення здійснення підготовчої роботи для укладення, зміни та припинення договорів про медичне обслуговування населення щодо спеціалізованої медичної допомог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722650" w:rsidRPr="002D3003" w:rsidRDefault="00722650" w:rsidP="00722650"/>
    <w:p w:rsidR="00D465EF" w:rsidRDefault="000329D8"/>
    <w:sectPr w:rsidR="00D465EF" w:rsidSect="002410A2">
      <w:pgSz w:w="11906" w:h="16838"/>
      <w:pgMar w:top="567" w:right="426" w:bottom="426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ACC"/>
    <w:multiLevelType w:val="hybridMultilevel"/>
    <w:tmpl w:val="F194407E"/>
    <w:lvl w:ilvl="0" w:tplc="037C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539B"/>
    <w:multiLevelType w:val="hybridMultilevel"/>
    <w:tmpl w:val="43045064"/>
    <w:lvl w:ilvl="0" w:tplc="CF36F990">
      <w:start w:val="1"/>
      <w:numFmt w:val="bullet"/>
      <w:lvlText w:val="-"/>
      <w:lvlJc w:val="left"/>
      <w:pPr>
        <w:ind w:left="905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50"/>
    <w:rsid w:val="000329D8"/>
    <w:rsid w:val="002F765F"/>
    <w:rsid w:val="00655AC2"/>
    <w:rsid w:val="00722650"/>
    <w:rsid w:val="008915B6"/>
    <w:rsid w:val="00B725A4"/>
    <w:rsid w:val="00E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8C97E-4022-4CCE-8892-626897F2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50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7226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5B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22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semiHidden/>
    <w:rsid w:val="00722650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722650"/>
  </w:style>
  <w:style w:type="paragraph" w:customStyle="1" w:styleId="rvps14">
    <w:name w:val="rvps14"/>
    <w:basedOn w:val="a"/>
    <w:uiPriority w:val="99"/>
    <w:rsid w:val="0072265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722650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5902</Words>
  <Characters>3365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Федько Наталія Миколаївна</cp:lastModifiedBy>
  <cp:revision>2</cp:revision>
  <dcterms:created xsi:type="dcterms:W3CDTF">2021-12-30T08:41:00Z</dcterms:created>
  <dcterms:modified xsi:type="dcterms:W3CDTF">2021-12-30T08:41:00Z</dcterms:modified>
</cp:coreProperties>
</file>