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F80846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0846" w:rsidRPr="00B91378" w:rsidRDefault="00F80846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F80846" w:rsidRPr="00B91378" w:rsidRDefault="00F80846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F80846" w:rsidRPr="00B91378" w:rsidRDefault="00F80846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F80846" w:rsidRPr="00ED5991" w:rsidRDefault="00F80846" w:rsidP="0088594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885947">
              <w:rPr>
                <w:color w:val="000000"/>
                <w:sz w:val="24"/>
                <w:szCs w:val="24"/>
              </w:rPr>
              <w:t>29.12.</w:t>
            </w:r>
            <w:r>
              <w:rPr>
                <w:color w:val="000000"/>
                <w:sz w:val="24"/>
                <w:szCs w:val="24"/>
                <w:lang w:val="ru-RU"/>
              </w:rPr>
              <w:t>202</w:t>
            </w:r>
            <w:r w:rsidR="00885947">
              <w:rPr>
                <w:color w:val="000000"/>
                <w:sz w:val="24"/>
                <w:szCs w:val="24"/>
                <w:lang w:val="ru-RU"/>
              </w:rPr>
              <w:t>1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885947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F80846" w:rsidRPr="00ED5991" w:rsidRDefault="00F80846" w:rsidP="00F80846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F80846" w:rsidRPr="00EC6E74" w:rsidRDefault="00F80846" w:rsidP="00F80846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F80846" w:rsidRPr="00EC6E74" w:rsidRDefault="00F80846" w:rsidP="00F8084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F80846" w:rsidRDefault="00F80846" w:rsidP="00F8084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color w:val="000000"/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 w:rsidRPr="00945C98">
        <w:rPr>
          <w:color w:val="000000"/>
          <w:sz w:val="24"/>
          <w:szCs w:val="24"/>
          <w:shd w:val="clear" w:color="auto" w:fill="FFFFFF"/>
        </w:rPr>
        <w:t xml:space="preserve">відділу </w:t>
      </w:r>
      <w:r w:rsidRPr="00BE66B2">
        <w:rPr>
          <w:sz w:val="24"/>
          <w:szCs w:val="24"/>
        </w:rPr>
        <w:t>нарахування заробітної плати управління бухгалтерського обліку та звітності Департаменту фінансів та бухгалтерського обліку</w:t>
      </w:r>
    </w:p>
    <w:p w:rsidR="00F80846" w:rsidRPr="00616A81" w:rsidRDefault="00F80846" w:rsidP="00F80846">
      <w:pPr>
        <w:spacing w:line="240" w:lineRule="auto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34"/>
        <w:gridCol w:w="6286"/>
      </w:tblGrid>
      <w:tr w:rsidR="00F80846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F80846" w:rsidRPr="00ED5991" w:rsidRDefault="00F80846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2" w:type="pct"/>
            <w:shd w:val="clear" w:color="auto" w:fill="auto"/>
          </w:tcPr>
          <w:p w:rsidR="00F80846" w:rsidRPr="0080001B" w:rsidRDefault="00F80846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прийом, аналіз і контроль табелів обліку робочого часу і підготовка їх до лічильної обробки;</w:t>
            </w:r>
          </w:p>
          <w:p w:rsidR="00F80846" w:rsidRDefault="00F80846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прийом і контроль правильності оформлення листків непрацездатності, підготовку їх до лічильної обробки, а також для складання встановленої бухгалтерської звітності;</w:t>
            </w:r>
          </w:p>
          <w:p w:rsidR="00F80846" w:rsidRPr="0080001B" w:rsidRDefault="00F80846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нарахування заробітної плати працівникам апарату НСЗУ, відпускних, допомоги з тимчасової непрацездатності, контроль за витрачанням фонду оплати праці;</w:t>
            </w:r>
          </w:p>
          <w:p w:rsidR="00F80846" w:rsidRPr="0080001B" w:rsidRDefault="00F80846" w:rsidP="00FB6D90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облік нарахування і сплата єдиного внеску на загальнообов’язкове державне соціальне страхування, податків та зборів з доходів працівників;</w:t>
            </w:r>
          </w:p>
          <w:p w:rsidR="00F80846" w:rsidRDefault="00F80846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необхідних документів для виплати відпускних працівникам апарату НСЗУ, які постраждали внаслідок аварії на ЧАЕС;</w:t>
            </w:r>
          </w:p>
          <w:p w:rsidR="00F80846" w:rsidRDefault="00F80846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забезпечення </w:t>
            </w:r>
            <w:r w:rsidRPr="00C11C58">
              <w:rPr>
                <w:sz w:val="24"/>
                <w:szCs w:val="24"/>
              </w:rPr>
              <w:t>повного та достовірного відображення інформації, що міститься у прийнятих до обліку первинних документах, на рахунках бухгалтерського обліку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F80846" w:rsidRDefault="00F80846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періодичної звітності за встановленими формами на основі первинних документів і бухгалтерських записів та подання її у встановлені терміни відповідним органам;</w:t>
            </w:r>
          </w:p>
          <w:p w:rsidR="00F80846" w:rsidRDefault="00F80846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підготовки оброблених документів, реєстрів і звітності для зберігання їх протягом установленого терміну;</w:t>
            </w:r>
          </w:p>
          <w:p w:rsidR="00F80846" w:rsidRPr="003C2209" w:rsidRDefault="00F80846" w:rsidP="00FB6D90">
            <w:pPr>
              <w:numPr>
                <w:ilvl w:val="2"/>
                <w:numId w:val="3"/>
              </w:numPr>
              <w:tabs>
                <w:tab w:val="left" w:pos="1560"/>
              </w:tabs>
              <w:spacing w:line="240" w:lineRule="auto"/>
              <w:ind w:left="185" w:hanging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11C58">
              <w:rPr>
                <w:color w:val="000000"/>
                <w:sz w:val="24"/>
                <w:szCs w:val="24"/>
              </w:rPr>
              <w:t>часть у розгляді звернень громадян, запитів на отримання публічної інформації, звернень та запитів адвокатів і народних депутатів України, звернень органів державної влади, місцевого самоврядування, об’єднань громадян, підприємств, установ, організацій незалежно від форм власності, їх посадових та службових осіб з питань, що належать до компетенції відділу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52" w:type="pct"/>
          </w:tcPr>
          <w:p w:rsidR="00F80846" w:rsidRPr="00D91231" w:rsidRDefault="00F80846" w:rsidP="00FB6D9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F80846" w:rsidRDefault="00F80846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F80846" w:rsidRPr="00FD11AB" w:rsidRDefault="00F80846" w:rsidP="00FB6D90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lastRenderedPageBreak/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52" w:type="pct"/>
          </w:tcPr>
          <w:p w:rsidR="00F80846" w:rsidRDefault="00F80846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F80846" w:rsidRDefault="00F80846" w:rsidP="00FB6D9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F80846" w:rsidRPr="00ED5991" w:rsidRDefault="00F80846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2" w:type="pct"/>
          </w:tcPr>
          <w:p w:rsidR="00F80846" w:rsidRPr="00416ED7" w:rsidRDefault="00F80846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80846" w:rsidRPr="00416ED7" w:rsidRDefault="00F80846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F80846" w:rsidRPr="00416ED7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F80846" w:rsidRPr="00416ED7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F80846" w:rsidRPr="00416ED7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F80846" w:rsidRPr="00416ED7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80846" w:rsidRDefault="00F80846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F80846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F80846" w:rsidRPr="00281173" w:rsidRDefault="00F80846" w:rsidP="00FB6D9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80846" w:rsidRDefault="00F80846" w:rsidP="00FB6D9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846" w:rsidRPr="00D3154A" w:rsidRDefault="00F80846" w:rsidP="00FB6D90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F80846" w:rsidRPr="00FB2759" w:rsidRDefault="00F80846" w:rsidP="00FB6D90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F80846" w:rsidRPr="00D3154A" w:rsidRDefault="00F80846" w:rsidP="00885947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885947">
              <w:t>13</w:t>
            </w:r>
            <w:r w:rsidRPr="00885947">
              <w:t xml:space="preserve"> січня</w:t>
            </w:r>
            <w:r w:rsidRPr="00685A94">
              <w:t xml:space="preserve">                     202</w:t>
            </w:r>
            <w:r>
              <w:t>2</w:t>
            </w:r>
            <w:r w:rsidRPr="00685A94">
              <w:t xml:space="preserve"> року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52" w:type="pct"/>
          </w:tcPr>
          <w:p w:rsidR="00F80846" w:rsidRPr="00ED5991" w:rsidRDefault="00F80846" w:rsidP="00FB6D9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855687">
              <w:rPr>
                <w:sz w:val="24"/>
                <w:szCs w:val="24"/>
              </w:rPr>
              <w:lastRenderedPageBreak/>
              <w:t>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80846" w:rsidRDefault="00F80846" w:rsidP="00FB6D9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2" w:type="pct"/>
          </w:tcPr>
          <w:p w:rsidR="00F80846" w:rsidRPr="00D3154A" w:rsidRDefault="00885947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80846" w:rsidRPr="00885947">
              <w:rPr>
                <w:sz w:val="24"/>
                <w:szCs w:val="24"/>
              </w:rPr>
              <w:t xml:space="preserve"> січня 2022</w:t>
            </w:r>
            <w:r w:rsidR="00F80846" w:rsidRPr="00D3154A">
              <w:rPr>
                <w:sz w:val="24"/>
                <w:szCs w:val="24"/>
              </w:rPr>
              <w:t xml:space="preserve"> року о 10 год 00 хв.</w:t>
            </w:r>
          </w:p>
          <w:p w:rsidR="00F80846" w:rsidRDefault="00F80846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F80846" w:rsidRDefault="00F80846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80846" w:rsidRPr="00D3154A" w:rsidRDefault="00F80846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F80846" w:rsidRDefault="00F80846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80846" w:rsidRDefault="00F80846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F80846" w:rsidRPr="00D3154A" w:rsidRDefault="00F80846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F80846" w:rsidRPr="00D3154A" w:rsidRDefault="00F80846" w:rsidP="00FB6D9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F80846" w:rsidRPr="00D3154A" w:rsidRDefault="00F80846" w:rsidP="00FB6D9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F80846" w:rsidRPr="00ED5991" w:rsidTr="00D60B18">
        <w:trPr>
          <w:trHeight w:val="1609"/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2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80846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F80846" w:rsidRPr="00DA0AC7" w:rsidRDefault="00F80846" w:rsidP="00FB6D9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2" w:type="pct"/>
          </w:tcPr>
          <w:p w:rsidR="00F80846" w:rsidRPr="00DA0AC7" w:rsidRDefault="00F80846" w:rsidP="00FB6D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2" w:type="pct"/>
          </w:tcPr>
          <w:p w:rsidR="00F80846" w:rsidRPr="00DA0AC7" w:rsidRDefault="00F80846" w:rsidP="00FB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2" w:type="pct"/>
          </w:tcPr>
          <w:p w:rsidR="00F80846" w:rsidRDefault="00F80846" w:rsidP="00FB6D90">
            <w:pPr>
              <w:spacing w:line="240" w:lineRule="auto"/>
              <w:rPr>
                <w:rStyle w:val="rvts0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  <w:p w:rsidR="00F80846" w:rsidRPr="00DA0AC7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80846" w:rsidRPr="00ED5991" w:rsidTr="00D60B18">
        <w:trPr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2" w:type="pct"/>
          </w:tcPr>
          <w:p w:rsidR="00F80846" w:rsidRDefault="00F80846" w:rsidP="00FB6D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  <w:p w:rsidR="00F80846" w:rsidRPr="00DA0AC7" w:rsidRDefault="00F80846" w:rsidP="00FB6D90">
            <w:pPr>
              <w:spacing w:line="240" w:lineRule="auto"/>
              <w:rPr>
                <w:rStyle w:val="rvts0"/>
                <w:sz w:val="24"/>
                <w:szCs w:val="24"/>
              </w:rPr>
            </w:pPr>
          </w:p>
        </w:tc>
      </w:tr>
      <w:tr w:rsidR="00F80846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F80846" w:rsidRPr="007A6CCE" w:rsidRDefault="00F80846" w:rsidP="00FB6D9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3052" w:type="pct"/>
          </w:tcPr>
          <w:p w:rsidR="00F80846" w:rsidRPr="007A6CCE" w:rsidRDefault="00F80846" w:rsidP="00FB6D9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0846" w:rsidRPr="00ED5991" w:rsidTr="00D60B18">
        <w:trPr>
          <w:trHeight w:val="1901"/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80846" w:rsidRPr="00ED5991" w:rsidTr="00D60B18">
        <w:trPr>
          <w:trHeight w:val="1898"/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Pr="007A6CCE" w:rsidRDefault="00F80846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F80846" w:rsidRPr="00ED5991" w:rsidTr="00D60B18">
        <w:trPr>
          <w:trHeight w:val="1471"/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7A6CCE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F80846" w:rsidRPr="00ED5991" w:rsidTr="00D60B18">
        <w:trPr>
          <w:trHeight w:val="1337"/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846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6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F80846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F80846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F80846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F80846" w:rsidRPr="00ED5991" w:rsidRDefault="00F80846" w:rsidP="00FB6D90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883" w:type="pct"/>
            <w:gridSpan w:val="2"/>
          </w:tcPr>
          <w:p w:rsidR="00F80846" w:rsidRPr="00ED5991" w:rsidRDefault="00F80846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F80846" w:rsidRPr="00ED5991" w:rsidRDefault="00F80846" w:rsidP="00FB6D9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80846" w:rsidRPr="00ED5991" w:rsidTr="00D60B18">
        <w:trPr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2" w:type="pct"/>
          </w:tcPr>
          <w:p w:rsidR="00F80846" w:rsidRPr="00E42A3F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846" w:rsidRPr="00ED5991" w:rsidRDefault="00F80846" w:rsidP="00FB6D9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F80846" w:rsidRPr="00ED3784" w:rsidRDefault="00F80846" w:rsidP="00FB6D9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F80846" w:rsidRPr="00ED5991" w:rsidTr="00D60B18">
        <w:trPr>
          <w:trHeight w:val="1468"/>
          <w:tblCellSpacing w:w="22" w:type="dxa"/>
        </w:trPr>
        <w:tc>
          <w:tcPr>
            <w:tcW w:w="157" w:type="pct"/>
          </w:tcPr>
          <w:p w:rsidR="00F80846" w:rsidRPr="00ED5991" w:rsidRDefault="00F80846" w:rsidP="00FB6D9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shd w:val="clear" w:color="auto" w:fill="auto"/>
          </w:tcPr>
          <w:p w:rsidR="00F80846" w:rsidRPr="00ED5991" w:rsidRDefault="00F80846" w:rsidP="00FB6D9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2" w:type="pct"/>
            <w:shd w:val="clear" w:color="auto" w:fill="auto"/>
          </w:tcPr>
          <w:p w:rsidR="00F80846" w:rsidRPr="00432584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бухгалтерський облік та фінансову звітність в Україні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оплату праці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збір та облік єдиного внеску на загальнообов’язкове державне соціальне страхування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загальнообов’язкове державне соціальне страхування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 xml:space="preserve"> 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80846" w:rsidRPr="00432584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32584">
              <w:rPr>
                <w:rFonts w:cs="Times New Roman"/>
                <w:sz w:val="24"/>
                <w:szCs w:val="24"/>
                <w:lang w:val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F80846" w:rsidRPr="00432584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Pr="0043258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затвердження Типового положення про бухгалтерську службу бюджетної установи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F80846" w:rsidRPr="00432584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Питання оплати праці працівників державних органів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02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1298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“Про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оплату праці працівників на основі Єдиної тарифної сітки розрядів і коефіцієнтів з оплати праці працівників установ, закладів, та організацій окремих галузей бюджетної сфери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cs="Times New Roman"/>
                <w:sz w:val="24"/>
                <w:szCs w:val="24"/>
                <w:lang w:eastAsia="ru-RU"/>
              </w:rPr>
              <w:t>2.1995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затвердження Порядку обчислення середньої заробітної плати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Pr="00432584" w:rsidRDefault="00F80846" w:rsidP="00FB6D9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26.09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01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1266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 обчислення середньої заробітної плати (доходу, грошового забезпечення) для розрахунку виплат за загальнообов’язковим державним соціальним страхуванням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Default="00F80846" w:rsidP="00FB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- Постанови Кабінету Міністрів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17.07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03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1078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Порядок проведення індексації грошових доходів населення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Default="00F80846" w:rsidP="00FB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Наказу </w:t>
            </w:r>
            <w:r w:rsidRPr="00006E56">
              <w:rPr>
                <w:color w:val="000000" w:themeColor="text1"/>
                <w:sz w:val="24"/>
                <w:szCs w:val="24"/>
                <w:lang w:eastAsia="ru-RU"/>
              </w:rPr>
              <w:t>Міністерства розвитку економіки, торгівлі та сільського господарства України від 23.03.2021 № 609 “</w:t>
            </w:r>
            <w:r w:rsidRPr="00006E5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      </w:r>
            <w:r w:rsidRPr="00006E56">
              <w:rPr>
                <w:color w:val="000000" w:themeColor="text1"/>
                <w:sz w:val="24"/>
                <w:szCs w:val="24"/>
                <w:lang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F80846" w:rsidRDefault="00F80846" w:rsidP="00FB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Наказу Держкомстату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13.01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 затвердження Інструкції зі статистики заробітної плати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”;</w:t>
            </w:r>
          </w:p>
          <w:p w:rsidR="00F80846" w:rsidRPr="00432584" w:rsidRDefault="00F80846" w:rsidP="00FB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Наказу Міністерства охорони здоров’я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від </w:t>
            </w:r>
            <w:r>
              <w:rPr>
                <w:rFonts w:cs="Times New Roman"/>
                <w:sz w:val="24"/>
                <w:szCs w:val="24"/>
                <w:lang w:eastAsia="ru-RU"/>
              </w:rPr>
              <w:t>13.11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sz w:val="24"/>
                <w:szCs w:val="24"/>
                <w:lang w:eastAsia="ru-RU"/>
              </w:rPr>
              <w:t>01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455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 затвердження Інструкції про порядок видачі документів, що засвідчують тимчасову непрацездатність громадян”</w:t>
            </w:r>
          </w:p>
        </w:tc>
      </w:tr>
      <w:tr w:rsidR="00D60B18" w:rsidRPr="00ED5991" w:rsidTr="00D60B18">
        <w:trPr>
          <w:tblCellSpacing w:w="22" w:type="dxa"/>
        </w:trPr>
        <w:tc>
          <w:tcPr>
            <w:tcW w:w="157" w:type="pct"/>
          </w:tcPr>
          <w:p w:rsidR="00D60B18" w:rsidRPr="00ED5991" w:rsidRDefault="00D60B18" w:rsidP="00D60B1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5" w:type="pct"/>
            <w:shd w:val="clear" w:color="auto" w:fill="auto"/>
          </w:tcPr>
          <w:p w:rsidR="00D60B18" w:rsidRPr="00277245" w:rsidRDefault="00D60B18" w:rsidP="00D60B18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7724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 w:rsidRPr="00277245">
              <w:rPr>
                <w:sz w:val="24"/>
                <w:szCs w:val="24"/>
              </w:rPr>
              <w:t>нарахування заробітної плати</w:t>
            </w:r>
          </w:p>
        </w:tc>
        <w:tc>
          <w:tcPr>
            <w:tcW w:w="3052" w:type="pct"/>
            <w:shd w:val="clear" w:color="auto" w:fill="auto"/>
          </w:tcPr>
          <w:p w:rsidR="00D60B18" w:rsidRDefault="00D60B18" w:rsidP="00D60B1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здійснення:</w:t>
            </w:r>
          </w:p>
          <w:p w:rsidR="00D60B18" w:rsidRDefault="00D60B18" w:rsidP="00D60B1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sz w:val="24"/>
                <w:szCs w:val="24"/>
              </w:rPr>
            </w:pPr>
            <w:r w:rsidRPr="00F9226E">
              <w:rPr>
                <w:sz w:val="24"/>
                <w:szCs w:val="24"/>
              </w:rPr>
              <w:t xml:space="preserve">нарахування заробітної плати та </w:t>
            </w:r>
            <w:r>
              <w:rPr>
                <w:sz w:val="24"/>
                <w:szCs w:val="24"/>
              </w:rPr>
              <w:t>інших виплат працівникам НСЗУ,</w:t>
            </w:r>
          </w:p>
          <w:p w:rsidR="00D60B18" w:rsidRDefault="00D60B18" w:rsidP="00D60B1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нарахування </w:t>
            </w:r>
            <w:r w:rsidRPr="00F9226E">
              <w:rPr>
                <w:sz w:val="24"/>
                <w:szCs w:val="24"/>
              </w:rPr>
              <w:t>внесків на загальнообов’язкове державне соціальне страхування та податків з доходів працівників</w:t>
            </w:r>
            <w:r>
              <w:rPr>
                <w:sz w:val="24"/>
                <w:szCs w:val="24"/>
              </w:rPr>
              <w:t>;</w:t>
            </w:r>
          </w:p>
          <w:p w:rsidR="00D60B18" w:rsidRPr="00F9226E" w:rsidRDefault="00D60B18" w:rsidP="00D60B18">
            <w:pPr>
              <w:pStyle w:val="a3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41" w:hanging="141"/>
              <w:jc w:val="both"/>
              <w:rPr>
                <w:b/>
                <w:sz w:val="24"/>
                <w:szCs w:val="24"/>
                <w:lang w:eastAsia="ru-RU"/>
              </w:rPr>
            </w:pPr>
            <w:r w:rsidRPr="006F441D">
              <w:rPr>
                <w:color w:val="000000"/>
                <w:sz w:val="24"/>
                <w:szCs w:val="24"/>
              </w:rPr>
              <w:t>підготовки періодичної звітності за встановленими формами та подання її у встановлені терміни відповідним органам.</w:t>
            </w:r>
          </w:p>
        </w:tc>
      </w:tr>
    </w:tbl>
    <w:p w:rsidR="00F80846" w:rsidRPr="00ED5991" w:rsidRDefault="00F80846" w:rsidP="00F80846">
      <w:pPr>
        <w:spacing w:line="240" w:lineRule="auto"/>
      </w:pPr>
    </w:p>
    <w:p w:rsidR="00F80846" w:rsidRPr="00401739" w:rsidRDefault="00F80846" w:rsidP="00F80846"/>
    <w:p w:rsidR="00F80846" w:rsidRDefault="00F80846" w:rsidP="00F80846"/>
    <w:p w:rsidR="00F80846" w:rsidRDefault="00F80846" w:rsidP="00F80846"/>
    <w:p w:rsidR="00F80846" w:rsidRDefault="00F80846" w:rsidP="00F80846"/>
    <w:p w:rsidR="00D465EF" w:rsidRDefault="00885947"/>
    <w:sectPr w:rsidR="00D465EF" w:rsidSect="005F37C4">
      <w:pgSz w:w="11906" w:h="16838"/>
      <w:pgMar w:top="1134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6"/>
    <w:rsid w:val="00655AC2"/>
    <w:rsid w:val="00885947"/>
    <w:rsid w:val="008915B6"/>
    <w:rsid w:val="00B725A4"/>
    <w:rsid w:val="00D60B18"/>
    <w:rsid w:val="00EF2802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DC4"/>
  <w15:chartTrackingRefBased/>
  <w15:docId w15:val="{8651A9D2-5983-4053-ACC3-1A11B04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46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80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0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F80846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80846"/>
  </w:style>
  <w:style w:type="paragraph" w:customStyle="1" w:styleId="rvps14">
    <w:name w:val="rvps14"/>
    <w:basedOn w:val="a"/>
    <w:uiPriority w:val="99"/>
    <w:rsid w:val="00F8084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F80846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6729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2</cp:revision>
  <dcterms:created xsi:type="dcterms:W3CDTF">2021-12-22T13:12:00Z</dcterms:created>
  <dcterms:modified xsi:type="dcterms:W3CDTF">2021-12-30T08:58:00Z</dcterms:modified>
</cp:coreProperties>
</file>