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2C" w:rsidRDefault="007E348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ОГОЛОШЕННЯ </w:t>
      </w:r>
      <w:r>
        <w:rPr>
          <w:rFonts w:ascii="Times New Roman" w:eastAsia="Times New Roman" w:hAnsi="Times New Roman" w:cs="Times New Roman"/>
          <w:b/>
          <w:sz w:val="24"/>
          <w:szCs w:val="24"/>
        </w:rPr>
        <w:br/>
        <w:t>про укладення договорів про медичне обслуговування населення за програмою медичних гарантій</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z w:val="24"/>
          <w:szCs w:val="24"/>
        </w:rPr>
        <w:t>щодо  надання медичних послуг «Хірургічні операції дорослим та дітям у стаціонарних умовах» ві</w:t>
      </w:r>
      <w:r w:rsidR="001106ED">
        <w:rPr>
          <w:rFonts w:ascii="Times New Roman" w:eastAsia="Times New Roman" w:hAnsi="Times New Roman" w:cs="Times New Roman"/>
          <w:b/>
          <w:sz w:val="24"/>
          <w:szCs w:val="24"/>
          <w:highlight w:val="white"/>
        </w:rPr>
        <w:t>д 03.</w:t>
      </w:r>
      <w:r w:rsidR="004E57D8">
        <w:rPr>
          <w:rFonts w:ascii="Times New Roman" w:eastAsia="Times New Roman" w:hAnsi="Times New Roman" w:cs="Times New Roman"/>
          <w:b/>
          <w:sz w:val="24"/>
          <w:szCs w:val="24"/>
          <w:highlight w:val="white"/>
        </w:rPr>
        <w:t>0</w:t>
      </w:r>
      <w:r w:rsidR="001106ED">
        <w:rPr>
          <w:rFonts w:ascii="Times New Roman" w:eastAsia="Times New Roman" w:hAnsi="Times New Roman" w:cs="Times New Roman"/>
          <w:b/>
          <w:sz w:val="24"/>
          <w:szCs w:val="24"/>
          <w:highlight w:val="white"/>
          <w:lang w:val="uk-UA"/>
        </w:rPr>
        <w:t>7</w:t>
      </w:r>
      <w:r>
        <w:rPr>
          <w:rFonts w:ascii="Times New Roman" w:eastAsia="Times New Roman" w:hAnsi="Times New Roman" w:cs="Times New Roman"/>
          <w:b/>
          <w:sz w:val="24"/>
          <w:szCs w:val="24"/>
          <w:highlight w:val="white"/>
        </w:rPr>
        <w:t>.202</w:t>
      </w:r>
      <w:r>
        <w:rPr>
          <w:rFonts w:ascii="Times New Roman" w:eastAsia="Times New Roman" w:hAnsi="Times New Roman" w:cs="Times New Roman"/>
          <w:b/>
          <w:sz w:val="24"/>
          <w:szCs w:val="24"/>
        </w:rPr>
        <w:t xml:space="preserve">0 року </w:t>
      </w:r>
    </w:p>
    <w:p w:rsidR="004D7F2C" w:rsidRDefault="007E348C">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F2C" w:rsidRDefault="004D7F2C">
      <w:pPr>
        <w:spacing w:line="256" w:lineRule="auto"/>
        <w:jc w:val="both"/>
        <w:rPr>
          <w:rFonts w:ascii="Times New Roman" w:eastAsia="Times New Roman" w:hAnsi="Times New Roman" w:cs="Times New Roman"/>
          <w:b/>
          <w:sz w:val="24"/>
          <w:szCs w:val="24"/>
        </w:rPr>
      </w:pPr>
    </w:p>
    <w:p w:rsidR="004D7F2C" w:rsidRDefault="004D7F2C">
      <w:pPr>
        <w:spacing w:line="256" w:lineRule="auto"/>
        <w:ind w:firstLine="700"/>
        <w:jc w:val="both"/>
        <w:rPr>
          <w:rFonts w:ascii="Times New Roman" w:eastAsia="Times New Roman" w:hAnsi="Times New Roman" w:cs="Times New Roman"/>
          <w:b/>
          <w:sz w:val="24"/>
          <w:szCs w:val="24"/>
        </w:rPr>
      </w:pPr>
    </w:p>
    <w:p w:rsidR="004D7F2C" w:rsidRDefault="007E348C">
      <w:pPr>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Подання пропозицій та їх розгляд</w:t>
      </w:r>
    </w:p>
    <w:p w:rsidR="004D7F2C" w:rsidRPr="004E57D8" w:rsidRDefault="004E57D8" w:rsidP="004E57D8">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7E348C" w:rsidRPr="004E57D8">
        <w:rPr>
          <w:rFonts w:ascii="Times New Roman" w:eastAsia="Times New Roman" w:hAnsi="Times New Roman" w:cs="Times New Roman"/>
          <w:sz w:val="24"/>
          <w:szCs w:val="24"/>
        </w:rPr>
        <w:t xml:space="preserve">Строк подання пропозиції спливає </w:t>
      </w:r>
      <w:r w:rsidR="007E348C" w:rsidRPr="004E57D8">
        <w:rPr>
          <w:rFonts w:ascii="Times New Roman" w:eastAsia="Times New Roman" w:hAnsi="Times New Roman" w:cs="Times New Roman"/>
          <w:b/>
          <w:sz w:val="24"/>
          <w:szCs w:val="24"/>
        </w:rPr>
        <w:t xml:space="preserve">о </w:t>
      </w:r>
      <w:r w:rsidR="00473DCB">
        <w:rPr>
          <w:rFonts w:ascii="Times New Roman" w:eastAsia="Times New Roman" w:hAnsi="Times New Roman" w:cs="Times New Roman"/>
          <w:b/>
          <w:sz w:val="24"/>
          <w:szCs w:val="24"/>
          <w:lang w:val="ru-RU"/>
        </w:rPr>
        <w:t>18</w:t>
      </w:r>
      <w:r w:rsidR="002526D5">
        <w:rPr>
          <w:rFonts w:ascii="Times New Roman" w:eastAsia="Times New Roman" w:hAnsi="Times New Roman" w:cs="Times New Roman"/>
          <w:b/>
          <w:sz w:val="24"/>
          <w:szCs w:val="24"/>
        </w:rPr>
        <w:t xml:space="preserve"> годині </w:t>
      </w:r>
      <w:r w:rsidR="00473DCB">
        <w:rPr>
          <w:rFonts w:ascii="Times New Roman" w:eastAsia="Times New Roman" w:hAnsi="Times New Roman" w:cs="Times New Roman"/>
          <w:b/>
          <w:sz w:val="24"/>
          <w:szCs w:val="24"/>
          <w:lang w:val="uk-UA"/>
        </w:rPr>
        <w:t>0</w:t>
      </w:r>
      <w:r w:rsidR="00D44A30">
        <w:rPr>
          <w:rFonts w:ascii="Times New Roman" w:eastAsia="Times New Roman" w:hAnsi="Times New Roman" w:cs="Times New Roman"/>
          <w:b/>
          <w:sz w:val="24"/>
          <w:szCs w:val="24"/>
          <w:lang w:val="uk-UA"/>
        </w:rPr>
        <w:t>0</w:t>
      </w:r>
      <w:r w:rsidR="002526D5">
        <w:rPr>
          <w:rFonts w:ascii="Times New Roman" w:eastAsia="Times New Roman" w:hAnsi="Times New Roman" w:cs="Times New Roman"/>
          <w:b/>
          <w:sz w:val="24"/>
          <w:szCs w:val="24"/>
        </w:rPr>
        <w:t xml:space="preserve"> </w:t>
      </w:r>
      <w:r w:rsidR="007E348C" w:rsidRPr="004E57D8">
        <w:rPr>
          <w:rFonts w:ascii="Times New Roman" w:eastAsia="Times New Roman" w:hAnsi="Times New Roman" w:cs="Times New Roman"/>
          <w:b/>
          <w:sz w:val="24"/>
          <w:szCs w:val="24"/>
        </w:rPr>
        <w:t xml:space="preserve">хвилин за київським часом </w:t>
      </w:r>
      <w:r w:rsidR="00473DCB">
        <w:rPr>
          <w:rFonts w:ascii="Times New Roman" w:eastAsia="Times New Roman" w:hAnsi="Times New Roman" w:cs="Times New Roman"/>
          <w:b/>
          <w:sz w:val="24"/>
          <w:szCs w:val="24"/>
          <w:lang w:val="uk-UA"/>
        </w:rPr>
        <w:t>03</w:t>
      </w:r>
      <w:r w:rsidRPr="004E57D8">
        <w:rPr>
          <w:rFonts w:ascii="Times New Roman" w:eastAsia="Times New Roman" w:hAnsi="Times New Roman" w:cs="Times New Roman"/>
          <w:b/>
          <w:sz w:val="24"/>
          <w:szCs w:val="24"/>
          <w:lang w:val="uk-UA"/>
        </w:rPr>
        <w:t xml:space="preserve"> </w:t>
      </w:r>
      <w:r w:rsidR="001106ED">
        <w:rPr>
          <w:rFonts w:ascii="Times New Roman" w:eastAsia="Times New Roman" w:hAnsi="Times New Roman" w:cs="Times New Roman"/>
          <w:b/>
          <w:sz w:val="24"/>
          <w:szCs w:val="24"/>
          <w:lang w:val="uk-UA"/>
        </w:rPr>
        <w:t>липня</w:t>
      </w:r>
      <w:r w:rsidRPr="004E57D8">
        <w:rPr>
          <w:rFonts w:ascii="Times New Roman" w:eastAsia="Times New Roman" w:hAnsi="Times New Roman" w:cs="Times New Roman"/>
          <w:b/>
          <w:sz w:val="24"/>
          <w:szCs w:val="24"/>
        </w:rPr>
        <w:t xml:space="preserve"> </w:t>
      </w:r>
      <w:r w:rsidR="007E348C" w:rsidRPr="004E57D8">
        <w:rPr>
          <w:rFonts w:ascii="Times New Roman" w:eastAsia="Times New Roman" w:hAnsi="Times New Roman" w:cs="Times New Roman"/>
          <w:b/>
          <w:sz w:val="24"/>
          <w:szCs w:val="24"/>
        </w:rPr>
        <w:t>2020 року</w:t>
      </w:r>
      <w:r w:rsidR="007E348C" w:rsidRPr="004E57D8">
        <w:rPr>
          <w:rFonts w:ascii="Times New Roman" w:eastAsia="Times New Roman" w:hAnsi="Times New Roman" w:cs="Times New Roman"/>
          <w:sz w:val="24"/>
          <w:szCs w:val="24"/>
        </w:rPr>
        <w:t xml:space="preserve">. </w:t>
      </w:r>
    </w:p>
    <w:p w:rsidR="004D7F2C" w:rsidRDefault="007E348C">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на укладення договору, у тому числі з усунутими недоліками (повторні), подані після закінчення строку подання, не розглядаються.</w:t>
      </w:r>
    </w:p>
    <w:p w:rsidR="004D7F2C" w:rsidRDefault="007E348C">
      <w:pPr>
        <w:spacing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Якщо суб’єкту господарювання надіслано повідомлення про виправлення помилок у його пропозиції після граничної дати подання пропозицій, суб’єкт господарювання має право подати оновлену пропозицію протягом двох робочих днів з дня надіслання НСЗУ повідомлення про виправлення помилок</w:t>
      </w:r>
      <w:r>
        <w:rPr>
          <w:rFonts w:ascii="Times New Roman" w:eastAsia="Times New Roman" w:hAnsi="Times New Roman" w:cs="Times New Roman"/>
          <w:sz w:val="24"/>
          <w:szCs w:val="24"/>
        </w:rPr>
        <w:t xml:space="preserve">. </w:t>
      </w:r>
    </w:p>
    <w:p w:rsidR="004D7F2C" w:rsidRDefault="007E348C">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Заявник подає до НСЗУ пропозицію (заяву та додатки до неї) в електронній формі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шляхом заповнення електронних полів.</w:t>
      </w:r>
    </w:p>
    <w:p w:rsidR="004D7F2C" w:rsidRDefault="007E348C">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Суб’єкт господарювання, який бажає укласти договір з НСЗУ на визначених в оголошенні умовах, до подання пропозиції повинен забезпечити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w:t>
      </w:r>
    </w:p>
    <w:p w:rsidR="004D7F2C" w:rsidRDefault="007E348C">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місця надання ним медичних послуг та медичне обладнання, зазначене в оголошенні;</w:t>
      </w:r>
    </w:p>
    <w:p w:rsidR="004D7F2C" w:rsidRDefault="007E348C">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ліцензію на провадження господарської діяльності з медичної практики (дата, строк дії, номер наказу, номер ліцензії та вид господарської діяльності, на право здійснення якого видано ліцензію)</w:t>
      </w:r>
    </w:p>
    <w:p w:rsidR="004D7F2C" w:rsidRDefault="007E348C">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суб’єкти господарювання, які будуть залучені до виконання договору (підрядники);</w:t>
      </w:r>
    </w:p>
    <w:p w:rsidR="004D7F2C" w:rsidRDefault="007E348C">
      <w:pPr>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уповноважених осіб та медичних працівників, які будуть залучені до укладення або виконання договору.</w:t>
      </w:r>
    </w:p>
    <w:p w:rsidR="004D7F2C" w:rsidRDefault="007E348C">
      <w:pPr>
        <w:shd w:val="clear" w:color="auto" w:fill="FFFFFF"/>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highlight w:val="white"/>
        </w:rPr>
        <w:t xml:space="preserve">У разі коли після подання пропозиції зазначена інформація змінюється, суб’єкт господарювання повинен </w:t>
      </w:r>
      <w:r>
        <w:rPr>
          <w:rFonts w:ascii="Times New Roman" w:eastAsia="Times New Roman" w:hAnsi="Times New Roman" w:cs="Times New Roman"/>
          <w:b/>
          <w:sz w:val="24"/>
          <w:szCs w:val="24"/>
          <w:highlight w:val="white"/>
          <w:u w:val="single"/>
        </w:rPr>
        <w:t>у той же день</w:t>
      </w:r>
      <w:r>
        <w:rPr>
          <w:rFonts w:ascii="Times New Roman" w:eastAsia="Times New Roman" w:hAnsi="Times New Roman" w:cs="Times New Roman"/>
          <w:sz w:val="24"/>
          <w:szCs w:val="24"/>
          <w:highlight w:val="white"/>
        </w:rPr>
        <w:t xml:space="preserve"> внести відповідні зміни до електронної системи охорони здоров’я.</w:t>
      </w:r>
    </w:p>
    <w:p w:rsidR="004D7F2C" w:rsidRDefault="007E348C">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Примітка:</w:t>
      </w:r>
      <w:r>
        <w:rPr>
          <w:rFonts w:ascii="Times New Roman" w:eastAsia="Times New Roman" w:hAnsi="Times New Roman" w:cs="Times New Roman"/>
          <w:sz w:val="24"/>
          <w:szCs w:val="24"/>
        </w:rPr>
        <w:t xml:space="preserve"> внесення до </w:t>
      </w:r>
      <w:r>
        <w:rPr>
          <w:rFonts w:ascii="Times New Roman" w:eastAsia="Times New Roman" w:hAnsi="Times New Roman" w:cs="Times New Roman"/>
          <w:sz w:val="24"/>
          <w:szCs w:val="24"/>
          <w:highlight w:val="white"/>
        </w:rPr>
        <w:t>електронної системи охорони здоров’я</w:t>
      </w:r>
      <w:r>
        <w:rPr>
          <w:rFonts w:ascii="Times New Roman" w:eastAsia="Times New Roman" w:hAnsi="Times New Roman" w:cs="Times New Roman"/>
          <w:sz w:val="24"/>
          <w:szCs w:val="24"/>
        </w:rPr>
        <w:t xml:space="preserve"> актуальної інформації про медичне обладнання, визначене в цьому Оголошенні, є обов’язковим за умови наявності відповідної технічної можливості в </w:t>
      </w:r>
      <w:r>
        <w:rPr>
          <w:rFonts w:ascii="Times New Roman" w:eastAsia="Times New Roman" w:hAnsi="Times New Roman" w:cs="Times New Roman"/>
          <w:sz w:val="24"/>
          <w:szCs w:val="24"/>
          <w:highlight w:val="white"/>
        </w:rPr>
        <w:t>електронній системі охорони здоров’я.</w:t>
      </w:r>
    </w:p>
    <w:p w:rsidR="004D7F2C" w:rsidRDefault="007E348C">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 НСЗУ розглядає пропозиції про укладення договору  до </w:t>
      </w:r>
      <w:r w:rsidR="00473DCB" w:rsidRPr="00473DCB">
        <w:rPr>
          <w:rFonts w:ascii="Times New Roman" w:eastAsia="Times New Roman" w:hAnsi="Times New Roman" w:cs="Times New Roman"/>
          <w:b/>
          <w:sz w:val="24"/>
          <w:szCs w:val="24"/>
          <w:u w:val="single"/>
          <w:lang w:val="uk-UA"/>
        </w:rPr>
        <w:t xml:space="preserve">31 липня </w:t>
      </w:r>
      <w:bookmarkStart w:id="0" w:name="_GoBack"/>
      <w:bookmarkEnd w:id="0"/>
      <w:r>
        <w:rPr>
          <w:rFonts w:ascii="Times New Roman" w:eastAsia="Times New Roman" w:hAnsi="Times New Roman" w:cs="Times New Roman"/>
          <w:b/>
          <w:sz w:val="24"/>
          <w:szCs w:val="24"/>
          <w:u w:val="single"/>
        </w:rPr>
        <w:t>2020 року включно</w:t>
      </w:r>
      <w:r>
        <w:rPr>
          <w:rFonts w:ascii="Times New Roman" w:eastAsia="Times New Roman" w:hAnsi="Times New Roman" w:cs="Times New Roman"/>
          <w:sz w:val="24"/>
          <w:szCs w:val="24"/>
          <w:highlight w:val="white"/>
        </w:rPr>
        <w:t>.</w:t>
      </w:r>
    </w:p>
    <w:p w:rsidR="004D7F2C" w:rsidRDefault="004D7F2C">
      <w:pPr>
        <w:shd w:val="clear" w:color="auto" w:fill="FFFFFF"/>
        <w:spacing w:line="240" w:lineRule="auto"/>
        <w:ind w:firstLine="709"/>
        <w:jc w:val="center"/>
        <w:rPr>
          <w:rFonts w:ascii="Times New Roman" w:eastAsia="Times New Roman" w:hAnsi="Times New Roman" w:cs="Times New Roman"/>
          <w:b/>
          <w:sz w:val="24"/>
          <w:szCs w:val="24"/>
        </w:rPr>
      </w:pPr>
    </w:p>
    <w:p w:rsidR="004D7F2C" w:rsidRDefault="007E348C">
      <w:pPr>
        <w:shd w:val="clear" w:color="auto" w:fill="FFFFFF"/>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Умови закупівлі медичних послуг, які будуть надаватись за Договором </w:t>
      </w:r>
    </w:p>
    <w:p w:rsidR="004D7F2C" w:rsidRDefault="004D7F2C">
      <w:pPr>
        <w:shd w:val="clear" w:color="auto" w:fill="FFFFFF"/>
        <w:spacing w:line="240" w:lineRule="auto"/>
        <w:ind w:firstLine="709"/>
        <w:jc w:val="both"/>
        <w:rPr>
          <w:rFonts w:ascii="Times New Roman" w:eastAsia="Times New Roman" w:hAnsi="Times New Roman" w:cs="Times New Roman"/>
          <w:b/>
          <w:sz w:val="24"/>
          <w:szCs w:val="24"/>
        </w:rPr>
      </w:pPr>
    </w:p>
    <w:p w:rsidR="004D7F2C" w:rsidRDefault="007E348C">
      <w:pPr>
        <w:shd w:val="clear" w:color="auto" w:fill="FFFFFF"/>
        <w:spacing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наявність необхідного для надання послуг медичного обладнання і персоналу та відповідати наступним умовам надання відповідних медичних послуг.</w:t>
      </w:r>
    </w:p>
    <w:p w:rsidR="004D7F2C" w:rsidRDefault="007E348C">
      <w:pPr>
        <w:jc w:val="both"/>
        <w:rPr>
          <w:rFonts w:ascii="Times New Roman" w:eastAsia="Times New Roman" w:hAnsi="Times New Roman" w:cs="Times New Roman"/>
          <w:b/>
          <w:i/>
          <w:sz w:val="24"/>
          <w:szCs w:val="24"/>
          <w:highlight w:val="magenta"/>
        </w:rPr>
      </w:pPr>
      <w:r>
        <w:rPr>
          <w:rFonts w:ascii="Times New Roman" w:eastAsia="Times New Roman" w:hAnsi="Times New Roman" w:cs="Times New Roman"/>
          <w:b/>
          <w:i/>
          <w:sz w:val="24"/>
          <w:szCs w:val="24"/>
        </w:rPr>
        <w:t xml:space="preserve"> </w:t>
      </w:r>
    </w:p>
    <w:p w:rsidR="004D7F2C" w:rsidRDefault="007E348C">
      <w:pPr>
        <w:ind w:left="1400" w:hanging="14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Умови надання послуги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стаціонарно.</w:t>
      </w:r>
    </w:p>
    <w:p w:rsidR="004D7F2C" w:rsidRDefault="007E348C">
      <w:pPr>
        <w:ind w:left="1400" w:hanging="140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4D7F2C" w:rsidRDefault="007E348C">
      <w:pPr>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i/>
          <w:sz w:val="24"/>
          <w:szCs w:val="24"/>
          <w:highlight w:val="white"/>
        </w:rPr>
        <w:t>Підстави надання послуги</w:t>
      </w:r>
      <w:r>
        <w:rPr>
          <w:rFonts w:ascii="Times New Roman" w:eastAsia="Times New Roman" w:hAnsi="Times New Roman" w:cs="Times New Roman"/>
          <w:b/>
          <w:sz w:val="24"/>
          <w:szCs w:val="24"/>
          <w:highlight w:val="white"/>
        </w:rPr>
        <w:t>:</w:t>
      </w:r>
    </w:p>
    <w:p w:rsidR="004D7F2C" w:rsidRDefault="007E348C">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направлення лікаря з надання ПМД, з яким укладено декларацію про вибір лікаря;</w:t>
      </w:r>
    </w:p>
    <w:p w:rsidR="004D7F2C" w:rsidRDefault="007E348C">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направлення лікуючого лікаря;</w:t>
      </w:r>
    </w:p>
    <w:p w:rsidR="004D7F2C" w:rsidRDefault="007E348C">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доставлення бригадою екстреної (швидкої) медичної допомоги;</w:t>
      </w:r>
    </w:p>
    <w:p w:rsidR="004D7F2C" w:rsidRDefault="007E348C">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направлення з іншого клінічного підрозділу закладу в разі перебування пацієнта на стаціонарному лікуванні;</w:t>
      </w:r>
    </w:p>
    <w:p w:rsidR="004D7F2C" w:rsidRDefault="007E348C">
      <w:pPr>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самозвернення</w:t>
      </w:r>
      <w:proofErr w:type="spellEnd"/>
      <w:r>
        <w:rPr>
          <w:rFonts w:ascii="Times New Roman" w:eastAsia="Times New Roman" w:hAnsi="Times New Roman" w:cs="Times New Roman"/>
          <w:sz w:val="24"/>
          <w:szCs w:val="24"/>
          <w:highlight w:val="white"/>
        </w:rPr>
        <w:t xml:space="preserve"> у невідкладному стані.</w:t>
      </w:r>
    </w:p>
    <w:p w:rsidR="004D7F2C" w:rsidRDefault="007E348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4D7F2C" w:rsidRDefault="007E348C">
      <w:pPr>
        <w:ind w:firstLine="70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Вимоги до організації надання послуг:</w:t>
      </w:r>
    </w:p>
    <w:p w:rsidR="004D7F2C" w:rsidRDefault="007E348C">
      <w:pPr>
        <w:numPr>
          <w:ilvl w:val="0"/>
          <w:numId w:val="1"/>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приймального відділення з приймально-оглядовим боксом або відділення невідкладної медичної допомоги для проведення первинного огляду пацієнта та визначення подальшої його маршрутизації.</w:t>
      </w:r>
    </w:p>
    <w:p w:rsidR="004D7F2C" w:rsidRDefault="007E348C">
      <w:pPr>
        <w:numPr>
          <w:ilvl w:val="0"/>
          <w:numId w:val="1"/>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відділення / палати інтенсивної терапії для проведення цілодобової інтенсивної терапії та моніторингу, обладнаних відповідно до табелю матеріально-технічного оснащення.</w:t>
      </w:r>
    </w:p>
    <w:p w:rsidR="004D7F2C" w:rsidRDefault="007E348C">
      <w:pPr>
        <w:numPr>
          <w:ilvl w:val="0"/>
          <w:numId w:val="1"/>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операційного блоку, обладнаного відповідно до табелю матеріально-технічного оснащення.</w:t>
      </w:r>
    </w:p>
    <w:p w:rsidR="004D7F2C" w:rsidRDefault="007E348C">
      <w:pPr>
        <w:numPr>
          <w:ilvl w:val="0"/>
          <w:numId w:val="1"/>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можливості проведення наступних лабораторних досліджень у закладі або на умовах договору підряду:</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розгорнутий клінічний аналіз крові;</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визначення групи крові і резус фактору; </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біохімічний аналіз крові (загальний білок, альфа-амілаза, </w:t>
      </w:r>
      <w:proofErr w:type="spellStart"/>
      <w:r>
        <w:rPr>
          <w:rFonts w:ascii="Times New Roman" w:eastAsia="Times New Roman" w:hAnsi="Times New Roman" w:cs="Times New Roman"/>
          <w:sz w:val="24"/>
          <w:szCs w:val="24"/>
          <w:highlight w:val="white"/>
        </w:rPr>
        <w:t>аспартатамінотрансфераза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АсАТ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аланінамінотрансфераза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АлАТ</w:t>
      </w:r>
      <w:proofErr w:type="spellEnd"/>
      <w:r>
        <w:rPr>
          <w:rFonts w:ascii="Times New Roman" w:eastAsia="Times New Roman" w:hAnsi="Times New Roman" w:cs="Times New Roman"/>
          <w:sz w:val="24"/>
          <w:szCs w:val="24"/>
          <w:highlight w:val="white"/>
        </w:rPr>
        <w:t xml:space="preserve">), білірубін і його фракції (загальний, прямий, непрямий), креатинін, сечовина, сечова кислота, електроліти); </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коагуляційний</w:t>
      </w:r>
      <w:proofErr w:type="spellEnd"/>
      <w:r>
        <w:rPr>
          <w:rFonts w:ascii="Times New Roman" w:eastAsia="Times New Roman" w:hAnsi="Times New Roman" w:cs="Times New Roman"/>
          <w:sz w:val="24"/>
          <w:szCs w:val="24"/>
          <w:highlight w:val="white"/>
        </w:rPr>
        <w:t xml:space="preserve"> гемостаз (</w:t>
      </w:r>
      <w:proofErr w:type="spellStart"/>
      <w:r>
        <w:rPr>
          <w:rFonts w:ascii="Times New Roman" w:eastAsia="Times New Roman" w:hAnsi="Times New Roman" w:cs="Times New Roman"/>
          <w:sz w:val="24"/>
          <w:szCs w:val="24"/>
          <w:highlight w:val="white"/>
        </w:rPr>
        <w:t>тромбіновий</w:t>
      </w:r>
      <w:proofErr w:type="spellEnd"/>
      <w:r>
        <w:rPr>
          <w:rFonts w:ascii="Times New Roman" w:eastAsia="Times New Roman" w:hAnsi="Times New Roman" w:cs="Times New Roman"/>
          <w:sz w:val="24"/>
          <w:szCs w:val="24"/>
          <w:highlight w:val="white"/>
        </w:rPr>
        <w:t xml:space="preserve"> час, активований частковий (парціальний) </w:t>
      </w:r>
      <w:proofErr w:type="spellStart"/>
      <w:r>
        <w:rPr>
          <w:rFonts w:ascii="Times New Roman" w:eastAsia="Times New Roman" w:hAnsi="Times New Roman" w:cs="Times New Roman"/>
          <w:sz w:val="24"/>
          <w:szCs w:val="24"/>
          <w:highlight w:val="white"/>
        </w:rPr>
        <w:t>тромбопластиновий</w:t>
      </w:r>
      <w:proofErr w:type="spellEnd"/>
      <w:r>
        <w:rPr>
          <w:rFonts w:ascii="Times New Roman" w:eastAsia="Times New Roman" w:hAnsi="Times New Roman" w:cs="Times New Roman"/>
          <w:sz w:val="24"/>
          <w:szCs w:val="24"/>
          <w:highlight w:val="white"/>
        </w:rPr>
        <w:t xml:space="preserve"> час (АЧТЧ, АПТЧ), міжнародне нормалізоване відношення (МНВ);</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глюкоза в цільній крові або сироватці крові;</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СРБ кількісний;</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дослідження спинномозкової рідини;</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аналіз сечі загальний.</w:t>
      </w:r>
    </w:p>
    <w:p w:rsidR="004D7F2C" w:rsidRDefault="007E348C">
      <w:pPr>
        <w:numPr>
          <w:ilvl w:val="0"/>
          <w:numId w:val="9"/>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можливості проведення інструментальних досліджень.</w:t>
      </w:r>
    </w:p>
    <w:p w:rsidR="004D7F2C" w:rsidRDefault="007E348C">
      <w:pPr>
        <w:numPr>
          <w:ilvl w:val="0"/>
          <w:numId w:val="9"/>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лабораторії для проведення бактеріологічного дослідження у закладі або на умовах договору підряду.</w:t>
      </w:r>
    </w:p>
    <w:p w:rsidR="004D7F2C" w:rsidRDefault="007E348C">
      <w:pPr>
        <w:numPr>
          <w:ilvl w:val="0"/>
          <w:numId w:val="9"/>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проведення гістологічного дослідження у закладі або на умовах договору підряду.</w:t>
      </w:r>
    </w:p>
    <w:p w:rsidR="004D7F2C" w:rsidRDefault="007E348C">
      <w:pPr>
        <w:numPr>
          <w:ilvl w:val="0"/>
          <w:numId w:val="9"/>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компонентами крові.</w:t>
      </w:r>
    </w:p>
    <w:p w:rsidR="004D7F2C" w:rsidRDefault="007E348C">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rsidR="004D7F2C" w:rsidRDefault="007E348C">
      <w:pPr>
        <w:ind w:firstLine="70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Додаткові вимоги до організації надання послуги:</w:t>
      </w:r>
    </w:p>
    <w:p w:rsidR="004D7F2C" w:rsidRDefault="007E348C">
      <w:pPr>
        <w:numPr>
          <w:ilvl w:val="0"/>
          <w:numId w:val="8"/>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можливості проведення планових та екстрених хірургічних операцій.</w:t>
      </w:r>
    </w:p>
    <w:p w:rsidR="004D7F2C" w:rsidRDefault="007E348C">
      <w:pPr>
        <w:numPr>
          <w:ilvl w:val="0"/>
          <w:numId w:val="8"/>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можливості проведення лабораторних досліджень цілодобово.</w:t>
      </w:r>
    </w:p>
    <w:p w:rsidR="004D7F2C" w:rsidRDefault="007E348C">
      <w:pPr>
        <w:numPr>
          <w:ilvl w:val="0"/>
          <w:numId w:val="8"/>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можливості проведення інструментальних досліджень цілодобово.</w:t>
      </w:r>
    </w:p>
    <w:p w:rsidR="004D7F2C" w:rsidRDefault="004D7F2C">
      <w:pPr>
        <w:ind w:firstLine="705"/>
        <w:jc w:val="both"/>
        <w:rPr>
          <w:rFonts w:ascii="Times New Roman" w:eastAsia="Times New Roman" w:hAnsi="Times New Roman" w:cs="Times New Roman"/>
          <w:sz w:val="24"/>
          <w:szCs w:val="24"/>
          <w:highlight w:val="white"/>
        </w:rPr>
      </w:pPr>
    </w:p>
    <w:p w:rsidR="004D7F2C" w:rsidRDefault="007E348C">
      <w:pPr>
        <w:ind w:firstLine="70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Вимоги до спеціалізації та кількості фахівців:</w:t>
      </w:r>
    </w:p>
    <w:p w:rsidR="004D7F2C" w:rsidRDefault="007E348C">
      <w:pPr>
        <w:numPr>
          <w:ilvl w:val="0"/>
          <w:numId w:val="10"/>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Лікар-акушер-гінеколог та/або лікар-</w:t>
      </w:r>
      <w:proofErr w:type="spellStart"/>
      <w:r>
        <w:rPr>
          <w:rFonts w:ascii="Times New Roman" w:eastAsia="Times New Roman" w:hAnsi="Times New Roman" w:cs="Times New Roman"/>
          <w:sz w:val="24"/>
          <w:szCs w:val="24"/>
          <w:highlight w:val="white"/>
        </w:rPr>
        <w:t>комбустіолог</w:t>
      </w:r>
      <w:proofErr w:type="spellEnd"/>
      <w:r>
        <w:rPr>
          <w:rFonts w:ascii="Times New Roman" w:eastAsia="Times New Roman" w:hAnsi="Times New Roman" w:cs="Times New Roman"/>
          <w:sz w:val="24"/>
          <w:szCs w:val="24"/>
          <w:highlight w:val="white"/>
        </w:rPr>
        <w:t xml:space="preserve">, та/або лікар-нейрохірург, та/або лікар-гінеколог-онколог, та/або лікар-онколог, та/або лікар-отоларинголог-онколог, та/або лікар-хірург-онколог, та/або лікар-стоматолог-хірург, та/або лікар-ортопед-травматолог, та/або лікар-отоларинголог, та/або лікар-офтальмолог, та/або лікар-хірург-проктолог, та/або лікар-хірург </w:t>
      </w:r>
      <w:r>
        <w:rPr>
          <w:rFonts w:ascii="Times New Roman" w:eastAsia="Times New Roman" w:hAnsi="Times New Roman" w:cs="Times New Roman"/>
          <w:sz w:val="24"/>
          <w:szCs w:val="24"/>
          <w:highlight w:val="white"/>
        </w:rPr>
        <w:lastRenderedPageBreak/>
        <w:t xml:space="preserve">судинний, та/або лікар-хірург серцево-судинний, та/або лікар-хірург </w:t>
      </w:r>
      <w:proofErr w:type="spellStart"/>
      <w:r>
        <w:rPr>
          <w:rFonts w:ascii="Times New Roman" w:eastAsia="Times New Roman" w:hAnsi="Times New Roman" w:cs="Times New Roman"/>
          <w:sz w:val="24"/>
          <w:szCs w:val="24"/>
          <w:highlight w:val="white"/>
        </w:rPr>
        <w:t>торакальний</w:t>
      </w:r>
      <w:proofErr w:type="spellEnd"/>
      <w:r>
        <w:rPr>
          <w:rFonts w:ascii="Times New Roman" w:eastAsia="Times New Roman" w:hAnsi="Times New Roman" w:cs="Times New Roman"/>
          <w:sz w:val="24"/>
          <w:szCs w:val="24"/>
          <w:highlight w:val="white"/>
        </w:rPr>
        <w:t xml:space="preserve">, та/або лікар-уролог, та/або лікар-хірург, та/або лікар-нейрохірург дитячий, та/або лікар-гінеколог дитячого та підліткового віку, та/або лікар-онколог дитячий, та/або лікар-ортопед-травматолог дитячий, та/або лікар-отоларинголог дитячий, та/або лікар-офтальмолог дитячий, та/або лікар-уролог дитячий, та/або лікар-хірург дитячий – щонайменше 2 особи з даного переліку, які працюють за основним місцем роботи в цьому закладі (не стосується медичного чергування). </w:t>
      </w:r>
    </w:p>
    <w:p w:rsidR="004D7F2C" w:rsidRDefault="007E348C">
      <w:pPr>
        <w:numPr>
          <w:ilvl w:val="0"/>
          <w:numId w:val="10"/>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Лікар-анестезіолог (лікар-анестезіолог дитячий у випадку медичної допомоги дітям) – щонайменше 2 особи, які працюють за основним місцем роботи в цьому закладі (не стосується медичного чергування).</w:t>
      </w:r>
    </w:p>
    <w:p w:rsidR="004D7F2C" w:rsidRDefault="007E348C">
      <w:pPr>
        <w:numPr>
          <w:ilvl w:val="0"/>
          <w:numId w:val="10"/>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Сестра медична стаціонару – щонайменше 2 особи, які працюють за основним місцем роботи в цьому закладі. </w:t>
      </w:r>
    </w:p>
    <w:p w:rsidR="004D7F2C" w:rsidRDefault="007E348C">
      <w:pPr>
        <w:numPr>
          <w:ilvl w:val="0"/>
          <w:numId w:val="10"/>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Сестра медична операційна – щонайменше 2 особи, які працюють за основним місцем роботи в цьому закладі.</w:t>
      </w:r>
    </w:p>
    <w:p w:rsidR="004D7F2C" w:rsidRDefault="007E348C">
      <w:pPr>
        <w:ind w:firstLine="70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4D7F2C" w:rsidRDefault="007E348C">
      <w:pPr>
        <w:ind w:firstLine="70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Додаткові вимоги до спеціалізації та кількості фахівців:</w:t>
      </w:r>
    </w:p>
    <w:p w:rsidR="004D7F2C" w:rsidRDefault="007E348C">
      <w:pPr>
        <w:numPr>
          <w:ilvl w:val="0"/>
          <w:numId w:val="6"/>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Лікар-акушер-гінеколог та/або лікар-</w:t>
      </w:r>
      <w:proofErr w:type="spellStart"/>
      <w:r>
        <w:rPr>
          <w:rFonts w:ascii="Times New Roman" w:eastAsia="Times New Roman" w:hAnsi="Times New Roman" w:cs="Times New Roman"/>
          <w:sz w:val="24"/>
          <w:szCs w:val="24"/>
          <w:highlight w:val="white"/>
        </w:rPr>
        <w:t>комбустіолог</w:t>
      </w:r>
      <w:proofErr w:type="spellEnd"/>
      <w:r>
        <w:rPr>
          <w:rFonts w:ascii="Times New Roman" w:eastAsia="Times New Roman" w:hAnsi="Times New Roman" w:cs="Times New Roman"/>
          <w:sz w:val="24"/>
          <w:szCs w:val="24"/>
          <w:highlight w:val="white"/>
        </w:rPr>
        <w:t xml:space="preserve">, та/або лікар-нейрохірург, та/або лікар-кардіолог інтервенційний, та/або лікар кардіолог-електрофізіолог, та/або лікар-гінеколог-онколог, та/або лікар-онколог, та/або лікар-отоларинголог-онколог, та/або лікар-хірург-онколог, та/або лікар-стоматолог-хірург, та/або лікар-ортопед-травматолог, та/або лікар-отоларинголог, та/або лікар-офтальмолог, та/або лікар-хірург-проктолог, та/або лікар-хірург </w:t>
      </w:r>
      <w:proofErr w:type="spellStart"/>
      <w:r>
        <w:rPr>
          <w:rFonts w:ascii="Times New Roman" w:eastAsia="Times New Roman" w:hAnsi="Times New Roman" w:cs="Times New Roman"/>
          <w:sz w:val="24"/>
          <w:szCs w:val="24"/>
          <w:highlight w:val="white"/>
        </w:rPr>
        <w:t>торакальний</w:t>
      </w:r>
      <w:proofErr w:type="spellEnd"/>
      <w:r>
        <w:rPr>
          <w:rFonts w:ascii="Times New Roman" w:eastAsia="Times New Roman" w:hAnsi="Times New Roman" w:cs="Times New Roman"/>
          <w:sz w:val="24"/>
          <w:szCs w:val="24"/>
          <w:highlight w:val="white"/>
        </w:rPr>
        <w:t xml:space="preserve">, та/або лікар-уролог, та/або лікар-хірург, та/або лікар-хірург серцево-судинний, та/або лікар-хірург судинний, та/або лікар-нейрохірург дитячий, та/або лікар-гінеколог дитячого та підліткового віку, та/або лікар-онколог дитячий, та/або лікар-ортопед-травматолог дитячий, та/або лікар-отоларинголог дитячий, та/або лікар-офтальмолог дитячий, та/або лікар-уролог дитячий, та/або лікар-хірург дитячий – щонайменше 4 особи з даного переліку, які працюють за основним місцем роботи в цьому закладі (цілодобовий пост). </w:t>
      </w:r>
    </w:p>
    <w:p w:rsidR="004D7F2C" w:rsidRDefault="007E348C">
      <w:pPr>
        <w:numPr>
          <w:ilvl w:val="0"/>
          <w:numId w:val="6"/>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Лікар-анестезіолог (лікар-анестезіолог дитячий у випадку медичної допомоги дітям) – щонайменше 4 особи, які працюють за основним місцем роботи в цьому закладі (цілодобовий пост). </w:t>
      </w:r>
    </w:p>
    <w:p w:rsidR="004D7F2C" w:rsidRDefault="007E348C">
      <w:pPr>
        <w:numPr>
          <w:ilvl w:val="0"/>
          <w:numId w:val="6"/>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Лікар з фізичної та реабілітаційної медицини та/або фізичний терапевт, та/або </w:t>
      </w:r>
      <w:proofErr w:type="spellStart"/>
      <w:r>
        <w:rPr>
          <w:rFonts w:ascii="Times New Roman" w:eastAsia="Times New Roman" w:hAnsi="Times New Roman" w:cs="Times New Roman"/>
          <w:sz w:val="24"/>
          <w:szCs w:val="24"/>
          <w:highlight w:val="white"/>
        </w:rPr>
        <w:t>ерготерапевт</w:t>
      </w:r>
      <w:proofErr w:type="spellEnd"/>
      <w:r>
        <w:rPr>
          <w:rFonts w:ascii="Times New Roman" w:eastAsia="Times New Roman" w:hAnsi="Times New Roman" w:cs="Times New Roman"/>
          <w:sz w:val="24"/>
          <w:szCs w:val="24"/>
          <w:highlight w:val="white"/>
        </w:rPr>
        <w:t>, та/або лікар з лікувальної фізкультури, та/або лікар з лікувальної фізкультури та спортивної медицини, та/або лікар-фізіотерапевт – щонайменше 1 особа з даного переліку.</w:t>
      </w:r>
    </w:p>
    <w:p w:rsidR="004D7F2C" w:rsidRDefault="007E348C">
      <w:pPr>
        <w:numPr>
          <w:ilvl w:val="0"/>
          <w:numId w:val="6"/>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Сестра медична стаціонару – щонайменше 4 особи, які працюють за основним місцем роботи в цьому закладі (цілодобовий пост).</w:t>
      </w:r>
    </w:p>
    <w:p w:rsidR="004D7F2C" w:rsidRDefault="007E348C">
      <w:pPr>
        <w:numPr>
          <w:ilvl w:val="0"/>
          <w:numId w:val="6"/>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Сестра медична-анестезист – щонайменше 4 особи, які працюють за основним місцем роботи в цьому закладі (цілодобовий пост).</w:t>
      </w:r>
    </w:p>
    <w:p w:rsidR="004D7F2C" w:rsidRDefault="007E348C">
      <w:pPr>
        <w:numPr>
          <w:ilvl w:val="0"/>
          <w:numId w:val="6"/>
        </w:numPr>
        <w:ind w:left="0"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Сестра медична операційна – щонайменше 4 особи, які працюють за основним місцем роботи в цьому закладі (цілодобовий пост).</w:t>
      </w:r>
    </w:p>
    <w:p w:rsidR="004D7F2C" w:rsidRDefault="007E348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4D7F2C" w:rsidRDefault="007E348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Вимоги до переліку обладнання:</w:t>
      </w:r>
    </w:p>
    <w:p w:rsidR="004D7F2C" w:rsidRDefault="007E348C">
      <w:pPr>
        <w:numPr>
          <w:ilvl w:val="0"/>
          <w:numId w:val="2"/>
        </w:numPr>
        <w:ind w:left="0" w:firstLine="705"/>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У закладі:</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УЗД-апарат з можливістю проведення </w:t>
      </w:r>
      <w:proofErr w:type="spellStart"/>
      <w:r>
        <w:rPr>
          <w:rFonts w:ascii="Times New Roman" w:eastAsia="Times New Roman" w:hAnsi="Times New Roman" w:cs="Times New Roman"/>
          <w:sz w:val="24"/>
          <w:szCs w:val="24"/>
          <w:highlight w:val="white"/>
        </w:rPr>
        <w:t>доплерографії</w:t>
      </w:r>
      <w:proofErr w:type="spellEnd"/>
      <w:r>
        <w:rPr>
          <w:rFonts w:ascii="Times New Roman" w:eastAsia="Times New Roman" w:hAnsi="Times New Roman" w:cs="Times New Roman"/>
          <w:sz w:val="24"/>
          <w:szCs w:val="24"/>
          <w:highlight w:val="white"/>
        </w:rPr>
        <w:t>;</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електрокардіограф багатоканальний;</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рентгенівський апарат;</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портативний дефібрилятор з функцією синхронізації.</w:t>
      </w:r>
    </w:p>
    <w:p w:rsidR="004D7F2C" w:rsidRDefault="007E348C">
      <w:pPr>
        <w:numPr>
          <w:ilvl w:val="0"/>
          <w:numId w:val="3"/>
        </w:numPr>
        <w:ind w:left="0" w:firstLine="705"/>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 місцем надання послуги:</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система централізованого постачання кисню або кисневий концентратор, здатний забезпечувати необхідний потік та тиск кисню в системі для роботи апарата ШВЛ;</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наркозний апарат/станція;</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апарат ШВЛ;</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ларингоскоп, </w:t>
      </w:r>
      <w:proofErr w:type="spellStart"/>
      <w:r>
        <w:rPr>
          <w:rFonts w:ascii="Times New Roman" w:eastAsia="Times New Roman" w:hAnsi="Times New Roman" w:cs="Times New Roman"/>
          <w:sz w:val="24"/>
          <w:szCs w:val="24"/>
          <w:highlight w:val="white"/>
        </w:rPr>
        <w:t>ендотрахеальні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інтубаційні</w:t>
      </w:r>
      <w:proofErr w:type="spellEnd"/>
      <w:r>
        <w:rPr>
          <w:rFonts w:ascii="Times New Roman" w:eastAsia="Times New Roman" w:hAnsi="Times New Roman" w:cs="Times New Roman"/>
          <w:sz w:val="24"/>
          <w:szCs w:val="24"/>
          <w:highlight w:val="white"/>
        </w:rPr>
        <w:t>) трубки;</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монітор пацієнта (ЧСС, ЕКГ, АТ, SpO2);</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пульсоксиметр</w:t>
      </w:r>
      <w:proofErr w:type="spellEnd"/>
      <w:r>
        <w:rPr>
          <w:rFonts w:ascii="Times New Roman" w:eastAsia="Times New Roman" w:hAnsi="Times New Roman" w:cs="Times New Roman"/>
          <w:sz w:val="24"/>
          <w:szCs w:val="24"/>
          <w:highlight w:val="white"/>
        </w:rPr>
        <w:t>;</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автоматичний дозатор лікувальних речовин;</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аспіратор(відсмоктувач);</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глюкометр</w:t>
      </w:r>
      <w:proofErr w:type="spellEnd"/>
      <w:r>
        <w:rPr>
          <w:rFonts w:ascii="Times New Roman" w:eastAsia="Times New Roman" w:hAnsi="Times New Roman" w:cs="Times New Roman"/>
          <w:sz w:val="24"/>
          <w:szCs w:val="24"/>
          <w:highlight w:val="white"/>
        </w:rPr>
        <w:t>;</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тонометр;</w:t>
      </w:r>
    </w:p>
    <w:p w:rsidR="004D7F2C" w:rsidRDefault="007E348C">
      <w:pPr>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коагулятор (</w:t>
      </w:r>
      <w:proofErr w:type="spellStart"/>
      <w:r>
        <w:rPr>
          <w:rFonts w:ascii="Times New Roman" w:eastAsia="Times New Roman" w:hAnsi="Times New Roman" w:cs="Times New Roman"/>
          <w:sz w:val="24"/>
          <w:szCs w:val="24"/>
          <w:highlight w:val="white"/>
        </w:rPr>
        <w:t>моно</w:t>
      </w:r>
      <w:proofErr w:type="spellEnd"/>
      <w:r>
        <w:rPr>
          <w:rFonts w:ascii="Times New Roman" w:eastAsia="Times New Roman" w:hAnsi="Times New Roman" w:cs="Times New Roman"/>
          <w:sz w:val="24"/>
          <w:szCs w:val="24"/>
          <w:highlight w:val="white"/>
        </w:rPr>
        <w:t>-, біполярний).</w:t>
      </w:r>
    </w:p>
    <w:p w:rsidR="004D7F2C" w:rsidRDefault="007E348C">
      <w:pPr>
        <w:spacing w:before="240" w:after="240"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Із урахуванням пункту 16 Порядку укладення, зміни та припинення договору про медичне обслуговування населення за програмою медичних гарантій, затвердженого постановою Кабінету Міністрів України від 25 квітня 2018 р. № 410, у разі невідповідності вимогам до обладнання, передбаченого Умовами закупівлі медичних послуг, які будуть надаватись за договором, визначених в цьому Оголошенні, суб'єкт господарювання, який бажає укласти договір з НСЗУ, зобов’язується </w:t>
      </w:r>
      <w:r w:rsidR="00F7758C" w:rsidRPr="00F7758C">
        <w:rPr>
          <w:rFonts w:ascii="Times New Roman" w:eastAsia="Times New Roman" w:hAnsi="Times New Roman" w:cs="Times New Roman"/>
          <w:sz w:val="24"/>
          <w:szCs w:val="24"/>
          <w:highlight w:val="white"/>
        </w:rPr>
        <w:t xml:space="preserve">до </w:t>
      </w:r>
      <w:r w:rsidR="00F7758C">
        <w:rPr>
          <w:rFonts w:ascii="Times New Roman" w:eastAsia="Times New Roman" w:hAnsi="Times New Roman" w:cs="Times New Roman"/>
          <w:sz w:val="24"/>
          <w:szCs w:val="24"/>
          <w:highlight w:val="white"/>
        </w:rPr>
        <w:t>01 жовтня</w:t>
      </w:r>
      <w:r w:rsidR="00F7758C" w:rsidRPr="00F7758C">
        <w:rPr>
          <w:rFonts w:ascii="Times New Roman" w:eastAsia="Times New Roman" w:hAnsi="Times New Roman" w:cs="Times New Roman"/>
          <w:sz w:val="24"/>
          <w:szCs w:val="24"/>
          <w:highlight w:val="white"/>
        </w:rPr>
        <w:t xml:space="preserve"> 2020 року</w:t>
      </w:r>
      <w:r>
        <w:rPr>
          <w:rFonts w:ascii="Times New Roman" w:eastAsia="Times New Roman" w:hAnsi="Times New Roman" w:cs="Times New Roman"/>
          <w:sz w:val="24"/>
          <w:szCs w:val="24"/>
          <w:highlight w:val="white"/>
        </w:rPr>
        <w:t xml:space="preserve"> забезпечити наявність та введення в експлуатацію такого обладнання, про що ставить відмітку при заповненні заяви.</w:t>
      </w:r>
    </w:p>
    <w:p w:rsidR="004D7F2C" w:rsidRDefault="004D7F2C">
      <w:pPr>
        <w:ind w:firstLine="708"/>
        <w:jc w:val="both"/>
        <w:rPr>
          <w:rFonts w:ascii="Times New Roman" w:eastAsia="Times New Roman" w:hAnsi="Times New Roman" w:cs="Times New Roman"/>
          <w:sz w:val="24"/>
          <w:szCs w:val="24"/>
          <w:highlight w:val="yellow"/>
        </w:rPr>
      </w:pPr>
    </w:p>
    <w:p w:rsidR="004D7F2C" w:rsidRDefault="007E348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4D7F2C" w:rsidRDefault="007E348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Додаткові вимоги до переліку обладнання:</w:t>
      </w:r>
    </w:p>
    <w:p w:rsidR="004D7F2C" w:rsidRDefault="007E348C">
      <w:pPr>
        <w:numPr>
          <w:ilvl w:val="0"/>
          <w:numId w:val="12"/>
        </w:num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У закладі:</w:t>
      </w:r>
    </w:p>
    <w:p w:rsidR="004D7F2C" w:rsidRDefault="007E348C">
      <w:pPr>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ендоскопічне обладнання – гастроскоп, </w:t>
      </w:r>
      <w:proofErr w:type="spellStart"/>
      <w:r>
        <w:rPr>
          <w:rFonts w:ascii="Times New Roman" w:eastAsia="Times New Roman" w:hAnsi="Times New Roman" w:cs="Times New Roman"/>
          <w:sz w:val="24"/>
          <w:szCs w:val="24"/>
          <w:highlight w:val="white"/>
        </w:rPr>
        <w:t>ректороманоскоп</w:t>
      </w:r>
      <w:proofErr w:type="spellEnd"/>
      <w:r>
        <w:rPr>
          <w:rFonts w:ascii="Times New Roman" w:eastAsia="Times New Roman" w:hAnsi="Times New Roman" w:cs="Times New Roman"/>
          <w:sz w:val="24"/>
          <w:szCs w:val="24"/>
          <w:highlight w:val="white"/>
        </w:rPr>
        <w:t xml:space="preserve"> або </w:t>
      </w:r>
      <w:proofErr w:type="spellStart"/>
      <w:r>
        <w:rPr>
          <w:rFonts w:ascii="Times New Roman" w:eastAsia="Times New Roman" w:hAnsi="Times New Roman" w:cs="Times New Roman"/>
          <w:sz w:val="24"/>
          <w:szCs w:val="24"/>
          <w:highlight w:val="white"/>
        </w:rPr>
        <w:t>колоноскоп</w:t>
      </w:r>
      <w:proofErr w:type="spellEnd"/>
      <w:r>
        <w:rPr>
          <w:rFonts w:ascii="Times New Roman" w:eastAsia="Times New Roman" w:hAnsi="Times New Roman" w:cs="Times New Roman"/>
          <w:sz w:val="24"/>
          <w:szCs w:val="24"/>
          <w:highlight w:val="white"/>
        </w:rPr>
        <w:t xml:space="preserve">, цистоскоп, – для надання допомоги дорослим; гастроскоп, </w:t>
      </w:r>
      <w:proofErr w:type="spellStart"/>
      <w:r>
        <w:rPr>
          <w:rFonts w:ascii="Times New Roman" w:eastAsia="Times New Roman" w:hAnsi="Times New Roman" w:cs="Times New Roman"/>
          <w:sz w:val="24"/>
          <w:szCs w:val="24"/>
          <w:highlight w:val="white"/>
        </w:rPr>
        <w:t>бронхоскоп</w:t>
      </w:r>
      <w:proofErr w:type="spellEnd"/>
      <w:r>
        <w:rPr>
          <w:rFonts w:ascii="Times New Roman" w:eastAsia="Times New Roman" w:hAnsi="Times New Roman" w:cs="Times New Roman"/>
          <w:sz w:val="24"/>
          <w:szCs w:val="24"/>
          <w:highlight w:val="white"/>
        </w:rPr>
        <w:t xml:space="preserve"> – для надання допомоги дітям;</w:t>
      </w:r>
    </w:p>
    <w:p w:rsidR="004D7F2C" w:rsidRDefault="007E348C">
      <w:pPr>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газовий аналізатор;</w:t>
      </w:r>
    </w:p>
    <w:p w:rsidR="004D7F2C" w:rsidRDefault="007E348C">
      <w:pPr>
        <w:numPr>
          <w:ilvl w:val="0"/>
          <w:numId w:val="13"/>
        </w:num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 місцем надання послуги:</w:t>
      </w:r>
    </w:p>
    <w:p w:rsidR="004D7F2C" w:rsidRDefault="007E348C">
      <w:pPr>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4"/>
          <w:szCs w:val="24"/>
          <w:highlight w:val="white"/>
        </w:rPr>
        <w:t>лапароскопічна</w:t>
      </w:r>
      <w:proofErr w:type="spellEnd"/>
      <w:r>
        <w:rPr>
          <w:rFonts w:ascii="Times New Roman" w:eastAsia="Times New Roman" w:hAnsi="Times New Roman" w:cs="Times New Roman"/>
          <w:sz w:val="24"/>
          <w:szCs w:val="24"/>
          <w:highlight w:val="white"/>
        </w:rPr>
        <w:t xml:space="preserve"> стійка;</w:t>
      </w:r>
    </w:p>
    <w:p w:rsidR="004D7F2C" w:rsidRDefault="007E348C">
      <w:pPr>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монітор пацієнта з датчиком вимірювання СО2.</w:t>
      </w:r>
    </w:p>
    <w:p w:rsidR="004D7F2C" w:rsidRDefault="007E348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4D7F2C" w:rsidRDefault="007E348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Інші вимоги:</w:t>
      </w:r>
    </w:p>
    <w:p w:rsidR="004D7F2C" w:rsidRDefault="007E348C">
      <w:pPr>
        <w:numPr>
          <w:ilvl w:val="0"/>
          <w:numId w:val="5"/>
        </w:numPr>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ліцензії на провадження діяльності з обігу наркотичних речовин та прекурсорів.</w:t>
      </w:r>
    </w:p>
    <w:p w:rsidR="004D7F2C" w:rsidRDefault="007E348C">
      <w:pPr>
        <w:numPr>
          <w:ilvl w:val="0"/>
          <w:numId w:val="5"/>
        </w:numPr>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програми з інфекційного контролю та дотримання заходів із запобігання інфекціям, пов’язаним з наданням медичної допомоги, відповідно до діючих наказів МОЗ України.</w:t>
      </w:r>
    </w:p>
    <w:p w:rsidR="004D7F2C" w:rsidRDefault="007E348C">
      <w:pPr>
        <w:numPr>
          <w:ilvl w:val="0"/>
          <w:numId w:val="5"/>
        </w:numPr>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Подання даних до електронної системи охорони здоров’я на постійній основі.</w:t>
      </w:r>
    </w:p>
    <w:p w:rsidR="004D7F2C" w:rsidRDefault="007E348C">
      <w:pPr>
        <w:spacing w:after="160" w:line="25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Забезпечення права пацієнта, який перебуває на лікуванні у відділенні інтенсивної терапії, на допуск до нього відвідувачів 24 години на добу в будь-який день тижня згідно з правилами, </w:t>
      </w:r>
      <w:r>
        <w:rPr>
          <w:rFonts w:ascii="Times New Roman" w:eastAsia="Times New Roman" w:hAnsi="Times New Roman" w:cs="Times New Roman"/>
          <w:sz w:val="24"/>
          <w:szCs w:val="24"/>
          <w:highlight w:val="white"/>
        </w:rPr>
        <w:lastRenderedPageBreak/>
        <w:t>визначеними у наказі МОЗ України від 15.06.2016 № 592   «Порядок допуску відвідувачів до пацієнтів, які перебувають на стаціонарному лікуванні у відділенні інтенсивної терапії».</w:t>
      </w:r>
    </w:p>
    <w:p w:rsidR="004D7F2C" w:rsidRDefault="004D7F2C">
      <w:pPr>
        <w:spacing w:line="256" w:lineRule="auto"/>
        <w:jc w:val="both"/>
        <w:rPr>
          <w:rFonts w:ascii="Times New Roman" w:eastAsia="Times New Roman" w:hAnsi="Times New Roman" w:cs="Times New Roman"/>
          <w:sz w:val="24"/>
          <w:szCs w:val="24"/>
          <w:highlight w:val="white"/>
        </w:rPr>
      </w:pPr>
    </w:p>
    <w:p w:rsidR="004D7F2C" w:rsidRDefault="004D7F2C">
      <w:pPr>
        <w:ind w:firstLine="720"/>
        <w:jc w:val="center"/>
        <w:rPr>
          <w:rFonts w:ascii="Times New Roman" w:eastAsia="Times New Roman" w:hAnsi="Times New Roman" w:cs="Times New Roman"/>
          <w:b/>
          <w:sz w:val="24"/>
          <w:szCs w:val="24"/>
        </w:rPr>
      </w:pPr>
    </w:p>
    <w:p w:rsidR="004D7F2C" w:rsidRDefault="007E348C">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 медичних послуг, які будуть надаватися за Договором (Специфікація) </w:t>
      </w:r>
    </w:p>
    <w:p w:rsidR="004D7F2C" w:rsidRDefault="004D7F2C">
      <w:pPr>
        <w:ind w:firstLine="720"/>
        <w:jc w:val="both"/>
        <w:rPr>
          <w:rFonts w:ascii="Times New Roman" w:eastAsia="Times New Roman" w:hAnsi="Times New Roman" w:cs="Times New Roman"/>
          <w:b/>
          <w:sz w:val="24"/>
          <w:szCs w:val="24"/>
        </w:rPr>
      </w:pPr>
    </w:p>
    <w:p w:rsidR="004D7F2C" w:rsidRDefault="007E348C">
      <w:pPr>
        <w:ind w:firstLine="283"/>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Для належного виконання Договору надавач медичних послуг зобов’язується забезпечити наступний обсяг послуги (специфікація) відповідно до потреб пацієнта:</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Первинний огляд пацієнта з визначенням його маршрутизації.</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Проведення необхідних лабораторних та інструментальних обстежень.</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Проведення хірургічних операцій.</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Забезпечення анестезії та анестезіологічного моніторингу під час проведення хірургічних операцій та обстежень.</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Забезпечення післяопераційного моніторингу, знеболення та подальшої медикаментозної терапії.</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 xml:space="preserve">Забезпечення проведення </w:t>
      </w:r>
      <w:proofErr w:type="spellStart"/>
      <w:r>
        <w:rPr>
          <w:rFonts w:ascii="Times New Roman" w:eastAsia="Times New Roman" w:hAnsi="Times New Roman" w:cs="Times New Roman"/>
          <w:sz w:val="24"/>
          <w:szCs w:val="24"/>
          <w:highlight w:val="white"/>
        </w:rPr>
        <w:t>патоморфологічних</w:t>
      </w:r>
      <w:proofErr w:type="spellEnd"/>
      <w:r>
        <w:rPr>
          <w:rFonts w:ascii="Times New Roman" w:eastAsia="Times New Roman" w:hAnsi="Times New Roman" w:cs="Times New Roman"/>
          <w:sz w:val="24"/>
          <w:szCs w:val="24"/>
          <w:highlight w:val="white"/>
        </w:rPr>
        <w:t xml:space="preserve"> досліджень.</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 xml:space="preserve">Забезпечення цілодобового лікарського та </w:t>
      </w:r>
      <w:proofErr w:type="spellStart"/>
      <w:r>
        <w:rPr>
          <w:rFonts w:ascii="Times New Roman" w:eastAsia="Times New Roman" w:hAnsi="Times New Roman" w:cs="Times New Roman"/>
          <w:sz w:val="24"/>
          <w:szCs w:val="24"/>
          <w:highlight w:val="white"/>
        </w:rPr>
        <w:t>медсестринського</w:t>
      </w:r>
      <w:proofErr w:type="spellEnd"/>
      <w:r>
        <w:rPr>
          <w:rFonts w:ascii="Times New Roman" w:eastAsia="Times New Roman" w:hAnsi="Times New Roman" w:cs="Times New Roman"/>
          <w:sz w:val="24"/>
          <w:szCs w:val="24"/>
          <w:highlight w:val="white"/>
        </w:rPr>
        <w:t xml:space="preserve"> догляду за пацієнтами.</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Проведення консультацій лікарями інших спеціальностей.</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Проведення заходів з вторинної профілактики захворювань.</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Надання послуг з медичної реабілітації в гострому періоді для запобігання виникнення післяопераційних ускладнень.</w:t>
      </w:r>
    </w:p>
    <w:p w:rsidR="004D7F2C" w:rsidRDefault="007E348C">
      <w:pPr>
        <w:numPr>
          <w:ilvl w:val="0"/>
          <w:numId w:val="11"/>
        </w:numPr>
        <w:ind w:left="0" w:firstLine="283"/>
        <w:jc w:val="both"/>
        <w:rPr>
          <w:highlight w:val="white"/>
        </w:rPr>
      </w:pPr>
      <w:r>
        <w:rPr>
          <w:rFonts w:ascii="Times New Roman" w:eastAsia="Times New Roman" w:hAnsi="Times New Roman" w:cs="Times New Roman"/>
          <w:sz w:val="24"/>
          <w:szCs w:val="24"/>
          <w:highlight w:val="white"/>
        </w:rPr>
        <w:t>Направлення пацієнтів в інші заклади/підрозділи для надання їм спеціалізованої (вторинної), високоспеціалізованої (третинної) медичної допомоги.</w:t>
      </w:r>
    </w:p>
    <w:p w:rsidR="004D7F2C" w:rsidRDefault="007E348C">
      <w:pPr>
        <w:numPr>
          <w:ilvl w:val="0"/>
          <w:numId w:val="11"/>
        </w:numPr>
        <w:ind w:left="0" w:firstLine="283"/>
        <w:jc w:val="both"/>
      </w:pPr>
      <w:r>
        <w:rPr>
          <w:rFonts w:ascii="Times New Roman" w:eastAsia="Times New Roman" w:hAnsi="Times New Roman" w:cs="Times New Roman"/>
          <w:sz w:val="24"/>
          <w:szCs w:val="24"/>
          <w:highlight w:val="white"/>
        </w:rPr>
        <w:t xml:space="preserve">Направлення пацієнтів в інші заклади/підрозділи для надання послуг з медичної реабілітації у </w:t>
      </w:r>
      <w:proofErr w:type="spellStart"/>
      <w:r>
        <w:rPr>
          <w:rFonts w:ascii="Times New Roman" w:eastAsia="Times New Roman" w:hAnsi="Times New Roman" w:cs="Times New Roman"/>
          <w:sz w:val="24"/>
          <w:szCs w:val="24"/>
          <w:highlight w:val="white"/>
        </w:rPr>
        <w:t>підгострому</w:t>
      </w:r>
      <w:proofErr w:type="spellEnd"/>
      <w:r>
        <w:rPr>
          <w:rFonts w:ascii="Times New Roman" w:eastAsia="Times New Roman" w:hAnsi="Times New Roman" w:cs="Times New Roman"/>
          <w:sz w:val="24"/>
          <w:szCs w:val="24"/>
          <w:highlight w:val="white"/>
        </w:rPr>
        <w:t xml:space="preserve"> та відновному періодах або послуг з паліативної медичної допомоги.</w:t>
      </w:r>
    </w:p>
    <w:p w:rsidR="004D7F2C" w:rsidRDefault="004D7F2C">
      <w:pPr>
        <w:spacing w:line="256" w:lineRule="auto"/>
        <w:jc w:val="both"/>
        <w:rPr>
          <w:rFonts w:ascii="Times New Roman" w:eastAsia="Times New Roman" w:hAnsi="Times New Roman" w:cs="Times New Roman"/>
          <w:b/>
          <w:sz w:val="24"/>
          <w:szCs w:val="24"/>
        </w:rPr>
      </w:pPr>
    </w:p>
    <w:p w:rsidR="004D7F2C" w:rsidRDefault="007E348C">
      <w:pPr>
        <w:spacing w:line="25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Суб'єкт господарювання, який бажає укласти Договір з НСЗУ, повинен відповідати Вимогам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затвердженим постановою Кабінету Міністрів У</w:t>
      </w:r>
      <w:r w:rsidR="00F7758C">
        <w:rPr>
          <w:rFonts w:ascii="Times New Roman" w:eastAsia="Times New Roman" w:hAnsi="Times New Roman" w:cs="Times New Roman"/>
          <w:sz w:val="24"/>
          <w:szCs w:val="24"/>
        </w:rPr>
        <w:t xml:space="preserve">країни від 28 березня 2018 року </w:t>
      </w:r>
      <w:r>
        <w:rPr>
          <w:rFonts w:ascii="Times New Roman" w:eastAsia="Times New Roman" w:hAnsi="Times New Roman" w:cs="Times New Roman"/>
          <w:sz w:val="24"/>
          <w:szCs w:val="24"/>
        </w:rPr>
        <w:t>№ 391.</w:t>
      </w:r>
    </w:p>
    <w:p w:rsidR="004D7F2C" w:rsidRDefault="004D7F2C">
      <w:pPr>
        <w:spacing w:line="256" w:lineRule="auto"/>
        <w:ind w:firstLine="720"/>
        <w:jc w:val="both"/>
        <w:rPr>
          <w:rFonts w:ascii="Times New Roman" w:eastAsia="Times New Roman" w:hAnsi="Times New Roman" w:cs="Times New Roman"/>
          <w:sz w:val="24"/>
          <w:szCs w:val="24"/>
          <w:highlight w:val="white"/>
        </w:rPr>
      </w:pPr>
    </w:p>
    <w:p w:rsidR="004D7F2C" w:rsidRDefault="004D7F2C">
      <w:pPr>
        <w:spacing w:line="256" w:lineRule="auto"/>
        <w:jc w:val="both"/>
        <w:rPr>
          <w:rFonts w:ascii="Times New Roman" w:eastAsia="Times New Roman" w:hAnsi="Times New Roman" w:cs="Times New Roman"/>
          <w:b/>
          <w:sz w:val="24"/>
          <w:szCs w:val="24"/>
          <w:highlight w:val="white"/>
        </w:rPr>
      </w:pPr>
    </w:p>
    <w:p w:rsidR="004D7F2C" w:rsidRDefault="007E348C">
      <w:pPr>
        <w:shd w:val="clear" w:color="auto" w:fill="FFFFFF"/>
        <w:spacing w:line="240" w:lineRule="auto"/>
        <w:ind w:firstLine="720"/>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highlight w:val="white"/>
          <w:u w:val="single"/>
        </w:rPr>
        <w:t xml:space="preserve">Подати пропозицію </w:t>
      </w:r>
      <w:r>
        <w:rPr>
          <w:rFonts w:ascii="Times New Roman" w:eastAsia="Times New Roman" w:hAnsi="Times New Roman" w:cs="Times New Roman"/>
          <w:b/>
          <w:i/>
          <w:sz w:val="24"/>
          <w:szCs w:val="24"/>
          <w:highlight w:val="white"/>
          <w:u w:val="single"/>
        </w:rPr>
        <w:t xml:space="preserve">«Хірургічні операції дорослим та дітям у стаціонарних умовах», </w:t>
      </w:r>
      <w:r>
        <w:rPr>
          <w:rFonts w:ascii="Times New Roman" w:eastAsia="Times New Roman" w:hAnsi="Times New Roman" w:cs="Times New Roman"/>
          <w:i/>
          <w:sz w:val="24"/>
          <w:szCs w:val="24"/>
          <w:highlight w:val="white"/>
          <w:u w:val="single"/>
        </w:rPr>
        <w:t>перейшовши за цим посиланням</w:t>
      </w:r>
      <w:r>
        <w:rPr>
          <w:rFonts w:ascii="Times New Roman" w:eastAsia="Times New Roman" w:hAnsi="Times New Roman" w:cs="Times New Roman"/>
          <w:i/>
          <w:sz w:val="24"/>
          <w:szCs w:val="24"/>
          <w:u w:val="single"/>
        </w:rPr>
        <w:br/>
        <w:t xml:space="preserve"> </w:t>
      </w:r>
      <w:hyperlink r:id="rId5">
        <w:r>
          <w:rPr>
            <w:rFonts w:ascii="Times New Roman" w:eastAsia="Times New Roman" w:hAnsi="Times New Roman" w:cs="Times New Roman"/>
            <w:i/>
            <w:color w:val="1155CC"/>
            <w:sz w:val="24"/>
            <w:szCs w:val="24"/>
            <w:u w:val="single"/>
          </w:rPr>
          <w:t>https://smarttender.biz/</w:t>
        </w:r>
      </w:hyperlink>
    </w:p>
    <w:p w:rsidR="004D7F2C" w:rsidRDefault="004D7F2C">
      <w:pPr>
        <w:shd w:val="clear" w:color="auto" w:fill="FFFFFF"/>
        <w:spacing w:line="240" w:lineRule="auto"/>
        <w:ind w:firstLine="720"/>
        <w:jc w:val="both"/>
        <w:rPr>
          <w:rFonts w:ascii="Times New Roman" w:eastAsia="Times New Roman" w:hAnsi="Times New Roman" w:cs="Times New Roman"/>
          <w:sz w:val="24"/>
          <w:szCs w:val="24"/>
        </w:rPr>
      </w:pPr>
    </w:p>
    <w:p w:rsidR="004D7F2C" w:rsidRDefault="007E348C">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заповнення заяви необхідно:</w:t>
      </w:r>
    </w:p>
    <w:p w:rsidR="004D7F2C" w:rsidRDefault="007E348C">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підставу, відповідно до якої діє підписант договору (</w:t>
      </w:r>
      <w:r>
        <w:rPr>
          <w:rFonts w:ascii="Times New Roman" w:eastAsia="Times New Roman" w:hAnsi="Times New Roman" w:cs="Times New Roman"/>
          <w:i/>
          <w:sz w:val="24"/>
          <w:szCs w:val="24"/>
        </w:rPr>
        <w:t xml:space="preserve">для юридичних осіб автоматично зазначається </w:t>
      </w:r>
      <w:r>
        <w:rPr>
          <w:rFonts w:ascii="Times New Roman" w:eastAsia="Times New Roman" w:hAnsi="Times New Roman" w:cs="Times New Roman"/>
          <w:b/>
          <w:i/>
          <w:sz w:val="24"/>
          <w:szCs w:val="24"/>
        </w:rPr>
        <w:t>«діє на підставі Статуту»</w:t>
      </w:r>
      <w:r>
        <w:rPr>
          <w:rFonts w:ascii="Times New Roman" w:eastAsia="Times New Roman" w:hAnsi="Times New Roman" w:cs="Times New Roman"/>
          <w:i/>
          <w:sz w:val="24"/>
          <w:szCs w:val="24"/>
        </w:rPr>
        <w:t xml:space="preserve">, для фізичних осіб-підприємців - необхідно </w:t>
      </w:r>
      <w:r>
        <w:rPr>
          <w:rFonts w:ascii="Times New Roman" w:eastAsia="Times New Roman" w:hAnsi="Times New Roman" w:cs="Times New Roman"/>
          <w:b/>
          <w:i/>
          <w:sz w:val="24"/>
          <w:szCs w:val="24"/>
        </w:rPr>
        <w:t xml:space="preserve">вказати номер  та дату </w:t>
      </w:r>
      <w:r>
        <w:rPr>
          <w:rFonts w:ascii="Times New Roman" w:eastAsia="Times New Roman" w:hAnsi="Times New Roman" w:cs="Times New Roman"/>
          <w:i/>
          <w:sz w:val="24"/>
          <w:szCs w:val="24"/>
        </w:rPr>
        <w:t>запису в Єдиному державному реєстрі юридичних осіб, фізичних осіб-підприємців та громадських формувань)</w:t>
      </w:r>
      <w:r>
        <w:rPr>
          <w:rFonts w:ascii="Times New Roman" w:eastAsia="Times New Roman" w:hAnsi="Times New Roman" w:cs="Times New Roman"/>
          <w:sz w:val="24"/>
          <w:szCs w:val="24"/>
          <w:highlight w:val="white"/>
        </w:rPr>
        <w:t>;</w:t>
      </w:r>
    </w:p>
    <w:p w:rsidR="004D7F2C" w:rsidRDefault="007E348C">
      <w:pPr>
        <w:shd w:val="clear" w:color="auto" w:fill="FFFFFF"/>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обрати місця надання послуг, які будуть включені до договору</w:t>
      </w:r>
      <w:r>
        <w:rPr>
          <w:rFonts w:ascii="Times New Roman" w:eastAsia="Times New Roman" w:hAnsi="Times New Roman" w:cs="Times New Roman"/>
          <w:i/>
          <w:sz w:val="24"/>
          <w:szCs w:val="24"/>
        </w:rPr>
        <w:t>;</w:t>
      </w:r>
    </w:p>
    <w:p w:rsidR="004D7F2C" w:rsidRDefault="007E348C">
      <w:pPr>
        <w:shd w:val="clear" w:color="auto" w:fill="FFFFFF"/>
        <w:spacing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lastRenderedPageBreak/>
        <w:t>- зазначити  статистичні дані за формою звітності № 20, затвердженою наказом МОЗ від 10.07.2007 № 378, за 2018 рік;</w:t>
      </w:r>
      <w:r>
        <w:rPr>
          <w:rFonts w:ascii="Times New Roman" w:eastAsia="Times New Roman" w:hAnsi="Times New Roman" w:cs="Times New Roman"/>
          <w:i/>
          <w:sz w:val="24"/>
          <w:szCs w:val="24"/>
          <w:highlight w:val="white"/>
        </w:rPr>
        <w:t xml:space="preserve"> </w:t>
      </w:r>
    </w:p>
    <w:p w:rsidR="004D7F2C" w:rsidRDefault="007E348C">
      <w:pPr>
        <w:shd w:val="clear" w:color="auto" w:fill="FFFFFF"/>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суб’єкт господарювання, який було утворено в результаті злиття декількох закладів охорони здоров’я, та суб’єкт господарювання до якого було приєднано один або декілька закладів охорони здоров’я, зазначає сумарні статистичні дані закладів охорони здоров’я, правонаступником яких є;</w:t>
      </w:r>
    </w:p>
    <w:p w:rsidR="004D7F2C" w:rsidRDefault="007E348C">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у разі якщо у закладу відсутні статистичні дані за формою звітності № 20, затвердженою наказом МОЗ від 10.07.2007 № 378, за 2018 рік (новостворений заклад, або заклад, який протягом 2018 року не надавав таких послуг), необхідно додати лист від департаменту (управління) охорони здоров’я обласної державної адміністрації з інформацією щодо запланованої кількості медичних послуг  за відповідним пакетом медичних послуг на 2020 рік, розрахованої на підставі прогнозованого розподілу кількості медичних послуг між закладами охорони здоров’я на території області, (інформація подається для усіх надавачів медичних послуг, які не надавали послуги у 2018 році та новостворених закладів)</w:t>
      </w:r>
      <w:r>
        <w:rPr>
          <w:rFonts w:ascii="Times New Roman" w:eastAsia="Times New Roman" w:hAnsi="Times New Roman" w:cs="Times New Roman"/>
          <w:sz w:val="24"/>
          <w:szCs w:val="24"/>
          <w:highlight w:val="white"/>
        </w:rPr>
        <w:t>;</w:t>
      </w:r>
    </w:p>
    <w:p w:rsidR="004D7F2C" w:rsidRPr="00B42B34" w:rsidRDefault="007E348C">
      <w:pPr>
        <w:shd w:val="clear" w:color="auto" w:fill="FFFFFF"/>
        <w:spacing w:line="240" w:lineRule="auto"/>
        <w:ind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банківські реквізити</w:t>
      </w:r>
      <w:r w:rsidR="00B42B34">
        <w:rPr>
          <w:rFonts w:ascii="Times New Roman" w:eastAsia="Times New Roman" w:hAnsi="Times New Roman" w:cs="Times New Roman"/>
          <w:sz w:val="24"/>
          <w:szCs w:val="24"/>
          <w:highlight w:val="white"/>
        </w:rPr>
        <w:t xml:space="preserve"> суб'єкта господарювання (IBAN)</w:t>
      </w:r>
      <w:r w:rsidR="00B42B34">
        <w:rPr>
          <w:rFonts w:ascii="Times New Roman" w:eastAsia="Times New Roman" w:hAnsi="Times New Roman" w:cs="Times New Roman"/>
          <w:sz w:val="24"/>
          <w:szCs w:val="24"/>
          <w:highlight w:val="white"/>
          <w:lang w:val="uk-UA"/>
        </w:rPr>
        <w:t>;</w:t>
      </w:r>
    </w:p>
    <w:p w:rsidR="004D7F2C" w:rsidRDefault="007E348C">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зазначити інформацію про підрядників, які будуть залучені до виконання договору в частині надання медичних послуг відповідно до цього Оголошення, вид медичних послуг, для надання яких будуть залучені підрядники, номер, дату та строк дії договору  укладеного з підрядником.</w:t>
      </w:r>
    </w:p>
    <w:p w:rsidR="004D7F2C" w:rsidRDefault="004D7F2C">
      <w:pPr>
        <w:shd w:val="clear" w:color="auto" w:fill="FFFFFF"/>
        <w:spacing w:line="240" w:lineRule="auto"/>
        <w:ind w:firstLine="720"/>
        <w:jc w:val="both"/>
        <w:rPr>
          <w:rFonts w:ascii="Times New Roman" w:eastAsia="Times New Roman" w:hAnsi="Times New Roman" w:cs="Times New Roman"/>
          <w:sz w:val="24"/>
          <w:szCs w:val="24"/>
        </w:rPr>
      </w:pPr>
    </w:p>
    <w:p w:rsidR="004D7F2C" w:rsidRDefault="007E348C">
      <w:pPr>
        <w:shd w:val="clear" w:color="auto" w:fill="FFFFFF"/>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УВАГА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помилка у банківських реквізитах може призвести до необхідності проходження повторної процедури укладення договору та, відповідно, до відтермінування оплати за надані послуги. Відповідальність за правильність банківських реквізитів, які автоматично будуть відображені у проекті договору, несе суб'єкт господарювання.</w:t>
      </w:r>
    </w:p>
    <w:p w:rsidR="004D7F2C" w:rsidRDefault="004D7F2C">
      <w:pPr>
        <w:shd w:val="clear" w:color="auto" w:fill="FFFFFF"/>
        <w:spacing w:line="240" w:lineRule="auto"/>
        <w:ind w:firstLine="720"/>
        <w:jc w:val="both"/>
        <w:rPr>
          <w:rFonts w:ascii="Times New Roman" w:eastAsia="Times New Roman" w:hAnsi="Times New Roman" w:cs="Times New Roman"/>
          <w:sz w:val="24"/>
          <w:szCs w:val="24"/>
        </w:rPr>
      </w:pPr>
    </w:p>
    <w:p w:rsidR="004D7F2C" w:rsidRDefault="007E348C">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потреби, разом із заявою також необхідно подати додатки до неї, які слід прикріпити  у вигляді сканованих документів у форматі PDF (далі – пропозиція). </w:t>
      </w:r>
    </w:p>
    <w:p w:rsidR="004D7F2C" w:rsidRDefault="004D7F2C">
      <w:pPr>
        <w:shd w:val="clear" w:color="auto" w:fill="FFFFFF"/>
        <w:spacing w:line="240" w:lineRule="auto"/>
        <w:ind w:firstLine="720"/>
        <w:jc w:val="both"/>
        <w:rPr>
          <w:rFonts w:ascii="Times New Roman" w:eastAsia="Times New Roman" w:hAnsi="Times New Roman" w:cs="Times New Roman"/>
          <w:sz w:val="24"/>
          <w:szCs w:val="24"/>
          <w:highlight w:val="white"/>
        </w:rPr>
      </w:pPr>
    </w:p>
    <w:p w:rsidR="004D7F2C" w:rsidRDefault="004D7F2C">
      <w:pPr>
        <w:spacing w:line="256" w:lineRule="auto"/>
        <w:jc w:val="both"/>
        <w:rPr>
          <w:rFonts w:ascii="Times New Roman" w:eastAsia="Times New Roman" w:hAnsi="Times New Roman" w:cs="Times New Roman"/>
          <w:b/>
          <w:sz w:val="24"/>
          <w:szCs w:val="24"/>
        </w:rPr>
      </w:pPr>
    </w:p>
    <w:p w:rsidR="004D7F2C" w:rsidRDefault="004D7F2C">
      <w:pPr>
        <w:spacing w:line="256" w:lineRule="auto"/>
        <w:jc w:val="both"/>
        <w:rPr>
          <w:rFonts w:ascii="Times New Roman" w:eastAsia="Times New Roman" w:hAnsi="Times New Roman" w:cs="Times New Roman"/>
          <w:b/>
          <w:sz w:val="24"/>
          <w:szCs w:val="24"/>
        </w:rPr>
      </w:pPr>
    </w:p>
    <w:p w:rsidR="004D7F2C" w:rsidRDefault="007E348C">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додатків до пропозиції</w:t>
      </w:r>
    </w:p>
    <w:p w:rsidR="004D7F2C" w:rsidRDefault="007E348C">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Додаток 1.  </w:t>
      </w:r>
      <w:r>
        <w:rPr>
          <w:rFonts w:ascii="Times New Roman" w:eastAsia="Times New Roman" w:hAnsi="Times New Roman" w:cs="Times New Roman"/>
          <w:sz w:val="24"/>
          <w:szCs w:val="24"/>
          <w:highlight w:val="white"/>
        </w:rPr>
        <w:t>Сканована копія в електронній формі документа, що підтверджує повноваження представника (у разі підписання заяви та доданих до неї документів представником суб’єкта господарювання, крім випадку, коли відомості про повноваження представника містяться в Єдиному державному реєстрі юридичних осіб, фізичних осіб - підприємців та громадських формувань).</w:t>
      </w:r>
    </w:p>
    <w:p w:rsidR="004D7F2C" w:rsidRDefault="007E348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Лист від Департаменту (управління) охорони здоров’я обласної державної адміністрацій з інформацією щодо запланованої кількості медичних послуг  за певним пакетом медичних послуг на 2020 рік (надається новоствореними суб’єктами господарювання, </w:t>
      </w:r>
      <w:r>
        <w:rPr>
          <w:rFonts w:ascii="Times New Roman" w:eastAsia="Times New Roman" w:hAnsi="Times New Roman" w:cs="Times New Roman"/>
          <w:sz w:val="24"/>
          <w:szCs w:val="24"/>
          <w:highlight w:val="white"/>
        </w:rPr>
        <w:t>суб’єктами господарювання, які було утворено в результаті злиття декількох закладів охорони здоров’я, суб’єктами господарювання до яких було приєднано один або декілька закладів охорони здоров</w:t>
      </w:r>
      <w:r>
        <w:rPr>
          <w:rFonts w:ascii="Times New Roman" w:eastAsia="Times New Roman" w:hAnsi="Times New Roman" w:cs="Times New Roman"/>
          <w:sz w:val="24"/>
          <w:szCs w:val="24"/>
        </w:rPr>
        <w:t>’я та суб’єктами господарювання, які функціонували, проте не надавали  послуги у 2018 році).</w:t>
      </w:r>
    </w:p>
    <w:p w:rsidR="004D7F2C" w:rsidRDefault="007E348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Сканована копія чинної ліцензії на провадження господарської діяльності з медичної практики та сканована копія внесених змін, у разі їх наявності. Залежно від того, коли заклад отримав ліцензію, це може бути:</w:t>
      </w:r>
    </w:p>
    <w:p w:rsidR="004D7F2C" w:rsidRDefault="007E348C">
      <w:pPr>
        <w:numPr>
          <w:ilvl w:val="0"/>
          <w:numId w:val="7"/>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ліцензія на бланку, якщо документ отримано до 01 січня 2017 року;</w:t>
      </w:r>
    </w:p>
    <w:p w:rsidR="004D7F2C" w:rsidRDefault="007E348C">
      <w:pPr>
        <w:numPr>
          <w:ilvl w:val="0"/>
          <w:numId w:val="7"/>
        </w:numPr>
        <w:spacing w:after="2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витяг з наказу МОЗ, якщо ліцензію отримано після 01 січня 2017 року.</w:t>
      </w:r>
    </w:p>
    <w:p w:rsidR="004D7F2C" w:rsidRDefault="004D7F2C">
      <w:pPr>
        <w:spacing w:after="200"/>
        <w:jc w:val="both"/>
        <w:rPr>
          <w:rFonts w:ascii="Times New Roman" w:eastAsia="Times New Roman" w:hAnsi="Times New Roman" w:cs="Times New Roman"/>
          <w:sz w:val="24"/>
          <w:szCs w:val="24"/>
          <w:highlight w:val="white"/>
        </w:rPr>
      </w:pPr>
    </w:p>
    <w:tbl>
      <w:tblPr>
        <w:tblStyle w:val="a5"/>
        <w:tblW w:w="8895" w:type="dxa"/>
        <w:tblInd w:w="0" w:type="dxa"/>
        <w:tblLayout w:type="fixed"/>
        <w:tblLook w:val="0600" w:firstRow="0" w:lastRow="0" w:firstColumn="0" w:lastColumn="0" w:noHBand="1" w:noVBand="1"/>
      </w:tblPr>
      <w:tblGrid>
        <w:gridCol w:w="8895"/>
      </w:tblGrid>
      <w:tr w:rsidR="004D7F2C">
        <w:trPr>
          <w:trHeight w:val="755"/>
        </w:trPr>
        <w:tc>
          <w:tcPr>
            <w:tcW w:w="8895" w:type="dxa"/>
            <w:tcMar>
              <w:top w:w="100" w:type="dxa"/>
              <w:left w:w="180" w:type="dxa"/>
              <w:bottom w:w="100" w:type="dxa"/>
              <w:right w:w="180" w:type="dxa"/>
            </w:tcMar>
          </w:tcPr>
          <w:p w:rsidR="004D7F2C" w:rsidRDefault="004D7F2C">
            <w:pPr>
              <w:widowControl w:val="0"/>
              <w:pBdr>
                <w:top w:val="nil"/>
                <w:left w:val="nil"/>
                <w:bottom w:val="nil"/>
                <w:right w:val="nil"/>
                <w:between w:val="nil"/>
              </w:pBdr>
              <w:rPr>
                <w:rFonts w:ascii="Times New Roman" w:eastAsia="Times New Roman" w:hAnsi="Times New Roman" w:cs="Times New Roman"/>
                <w:sz w:val="24"/>
                <w:szCs w:val="24"/>
                <w:highlight w:val="white"/>
              </w:rPr>
            </w:pPr>
          </w:p>
        </w:tc>
      </w:tr>
    </w:tbl>
    <w:p w:rsidR="004D7F2C" w:rsidRDefault="004D7F2C">
      <w:pPr>
        <w:spacing w:after="200" w:line="331" w:lineRule="auto"/>
        <w:rPr>
          <w:rFonts w:ascii="Times New Roman" w:eastAsia="Times New Roman" w:hAnsi="Times New Roman" w:cs="Times New Roman"/>
          <w:sz w:val="24"/>
          <w:szCs w:val="24"/>
          <w:highlight w:val="white"/>
        </w:rPr>
      </w:pPr>
    </w:p>
    <w:p w:rsidR="004D7F2C" w:rsidRDefault="004D7F2C">
      <w:pPr>
        <w:spacing w:line="256" w:lineRule="auto"/>
        <w:jc w:val="both"/>
        <w:rPr>
          <w:rFonts w:ascii="Times New Roman" w:eastAsia="Times New Roman" w:hAnsi="Times New Roman" w:cs="Times New Roman"/>
          <w:sz w:val="24"/>
          <w:szCs w:val="24"/>
          <w:highlight w:val="white"/>
        </w:rPr>
      </w:pPr>
    </w:p>
    <w:p w:rsidR="004D7F2C" w:rsidRDefault="004D7F2C">
      <w:pPr>
        <w:spacing w:line="256" w:lineRule="auto"/>
        <w:jc w:val="both"/>
        <w:rPr>
          <w:rFonts w:ascii="Times New Roman" w:eastAsia="Times New Roman" w:hAnsi="Times New Roman" w:cs="Times New Roman"/>
          <w:sz w:val="24"/>
          <w:szCs w:val="24"/>
          <w:highlight w:val="white"/>
        </w:rPr>
      </w:pPr>
    </w:p>
    <w:p w:rsidR="004D7F2C" w:rsidRPr="007E348C" w:rsidRDefault="007E348C">
      <w:pPr>
        <w:spacing w:line="256" w:lineRule="auto"/>
        <w:jc w:val="center"/>
        <w:rPr>
          <w:rFonts w:ascii="Times New Roman" w:eastAsia="Times New Roman" w:hAnsi="Times New Roman" w:cs="Times New Roman"/>
          <w:b/>
          <w:i/>
          <w:sz w:val="24"/>
          <w:szCs w:val="24"/>
        </w:rPr>
      </w:pPr>
      <w:r w:rsidRPr="007E348C">
        <w:rPr>
          <w:rFonts w:ascii="Times New Roman" w:eastAsia="Times New Roman" w:hAnsi="Times New Roman" w:cs="Times New Roman"/>
          <w:b/>
          <w:i/>
          <w:sz w:val="24"/>
          <w:szCs w:val="24"/>
        </w:rPr>
        <w:t>Проект додатку до договору щодо спеціальних умов надання відповідних видів медичних послуг або груп медичних послуг</w:t>
      </w:r>
    </w:p>
    <w:p w:rsidR="004D7F2C" w:rsidRDefault="004D7F2C">
      <w:pPr>
        <w:spacing w:line="256" w:lineRule="auto"/>
        <w:jc w:val="both"/>
        <w:rPr>
          <w:rFonts w:ascii="Times New Roman" w:eastAsia="Times New Roman" w:hAnsi="Times New Roman" w:cs="Times New Roman"/>
          <w:b/>
          <w:sz w:val="24"/>
          <w:szCs w:val="24"/>
        </w:rPr>
      </w:pPr>
    </w:p>
    <w:p w:rsidR="004D7F2C" w:rsidRDefault="004D7F2C">
      <w:pPr>
        <w:spacing w:line="256" w:lineRule="auto"/>
        <w:jc w:val="both"/>
        <w:rPr>
          <w:rFonts w:ascii="Times New Roman" w:eastAsia="Times New Roman" w:hAnsi="Times New Roman" w:cs="Times New Roman"/>
          <w:b/>
          <w:sz w:val="24"/>
          <w:szCs w:val="24"/>
        </w:rPr>
      </w:pPr>
    </w:p>
    <w:p w:rsidR="004D7F2C" w:rsidRDefault="004D7F2C">
      <w:pPr>
        <w:spacing w:line="256" w:lineRule="auto"/>
        <w:ind w:firstLine="700"/>
        <w:jc w:val="both"/>
        <w:rPr>
          <w:rFonts w:ascii="Times New Roman" w:eastAsia="Times New Roman" w:hAnsi="Times New Roman" w:cs="Times New Roman"/>
          <w:sz w:val="24"/>
          <w:szCs w:val="24"/>
          <w:highlight w:val="white"/>
        </w:rPr>
      </w:pPr>
    </w:p>
    <w:p w:rsidR="004D7F2C" w:rsidRDefault="004D7F2C">
      <w:pPr>
        <w:spacing w:line="256" w:lineRule="auto"/>
        <w:jc w:val="both"/>
        <w:rPr>
          <w:rFonts w:ascii="Times New Roman" w:eastAsia="Times New Roman" w:hAnsi="Times New Roman" w:cs="Times New Roman"/>
          <w:sz w:val="24"/>
          <w:szCs w:val="24"/>
          <w:highlight w:val="white"/>
        </w:rPr>
      </w:pPr>
    </w:p>
    <w:p w:rsidR="004D7F2C" w:rsidRDefault="004D7F2C">
      <w:pPr>
        <w:spacing w:line="256" w:lineRule="auto"/>
        <w:jc w:val="both"/>
        <w:rPr>
          <w:rFonts w:ascii="Times New Roman" w:eastAsia="Times New Roman" w:hAnsi="Times New Roman" w:cs="Times New Roman"/>
          <w:sz w:val="24"/>
          <w:szCs w:val="24"/>
          <w:highlight w:val="magenta"/>
        </w:rPr>
      </w:pPr>
    </w:p>
    <w:p w:rsidR="004D7F2C" w:rsidRDefault="004D7F2C">
      <w:pPr>
        <w:spacing w:line="256" w:lineRule="auto"/>
        <w:jc w:val="both"/>
        <w:rPr>
          <w:rFonts w:ascii="Times New Roman" w:eastAsia="Times New Roman" w:hAnsi="Times New Roman" w:cs="Times New Roman"/>
          <w:sz w:val="24"/>
          <w:szCs w:val="24"/>
        </w:rPr>
      </w:pPr>
    </w:p>
    <w:p w:rsidR="004D7F2C" w:rsidRDefault="004D7F2C">
      <w:pPr>
        <w:spacing w:after="160"/>
        <w:ind w:firstLine="460"/>
        <w:jc w:val="both"/>
        <w:rPr>
          <w:rFonts w:ascii="Times New Roman" w:eastAsia="Times New Roman" w:hAnsi="Times New Roman" w:cs="Times New Roman"/>
          <w:sz w:val="24"/>
          <w:szCs w:val="24"/>
        </w:rPr>
      </w:pPr>
    </w:p>
    <w:p w:rsidR="004D7F2C" w:rsidRDefault="007E348C">
      <w:pPr>
        <w:spacing w:after="160"/>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Протягом десяти календарних днів</w:t>
      </w:r>
      <w:r>
        <w:rPr>
          <w:rFonts w:ascii="Times New Roman" w:eastAsia="Times New Roman" w:hAnsi="Times New Roman" w:cs="Times New Roman"/>
          <w:sz w:val="24"/>
          <w:szCs w:val="24"/>
          <w:highlight w:val="white"/>
        </w:rPr>
        <w:t xml:space="preserve"> з дати підписання проекту договору уповноваженою особою НСЗУ керівник або уповноважена особа суб’єкта господарювання накладає електронний підпис на такий договір. Накладенням електронного підпису на договір уповноважена особа суб’єкта господарювання підтверджує, що суб’єкт господарювання відповідає умовам закупівлі та спроможний надавати медичні послуги згідно із специфікацією.</w:t>
      </w:r>
    </w:p>
    <w:p w:rsidR="004D7F2C" w:rsidRDefault="007E348C" w:rsidP="00D64DD0">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D7F2C" w:rsidRDefault="007E348C">
      <w:pPr>
        <w:shd w:val="clear" w:color="auto" w:fill="FFFFFF"/>
        <w:jc w:val="both"/>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 xml:space="preserve">  </w:t>
      </w:r>
    </w:p>
    <w:p w:rsidR="004D7F2C" w:rsidRDefault="007E348C">
      <w:pPr>
        <w:spacing w:line="256" w:lineRule="auto"/>
        <w:ind w:firstLine="700"/>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У разі наявності будь-яких питань, які виникають під час заповнення заяви та/або подання пропозиції, звертайтеся на адресу електронної пошти: spetsdopomoga@nszu.gov.ua або на безкоштовну гарячу лінію 16-77, а також за телефонами Міжрегіональних департаментів НСЗУ: </w:t>
      </w:r>
    </w:p>
    <w:p w:rsidR="004D7F2C" w:rsidRDefault="007E348C">
      <w:pPr>
        <w:numPr>
          <w:ilvl w:val="0"/>
          <w:numId w:val="14"/>
        </w:numPr>
        <w:spacing w:line="256" w:lineRule="auto"/>
        <w:ind w:left="9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департамент (м. Київ, Київська обл., Житомирська обл., Вінницька обл., Черкаська обл.) -  (</w:t>
      </w:r>
      <w:r w:rsidR="00B42B34">
        <w:rPr>
          <w:rFonts w:ascii="Times New Roman" w:eastAsia="Times New Roman" w:hAnsi="Times New Roman" w:cs="Times New Roman"/>
          <w:sz w:val="24"/>
          <w:szCs w:val="24"/>
        </w:rPr>
        <w:t>044) 299 04 86, (044) 299 04 97</w:t>
      </w:r>
      <w:r>
        <w:rPr>
          <w:rFonts w:ascii="Times New Roman" w:eastAsia="Times New Roman" w:hAnsi="Times New Roman" w:cs="Times New Roman"/>
          <w:sz w:val="24"/>
          <w:szCs w:val="24"/>
        </w:rPr>
        <w:t>.</w:t>
      </w:r>
    </w:p>
    <w:p w:rsidR="004D7F2C" w:rsidRDefault="007E348C">
      <w:pPr>
        <w:numPr>
          <w:ilvl w:val="0"/>
          <w:numId w:val="14"/>
        </w:numPr>
        <w:spacing w:line="256" w:lineRule="auto"/>
        <w:ind w:left="9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Північний міжрегіональний департамент (Полтавська обл., Сумська обл., Харківська обл., Чернігівська обл.) -  (044) 299 04 96.</w:t>
      </w:r>
    </w:p>
    <w:p w:rsidR="004D7F2C" w:rsidRDefault="007E348C">
      <w:pPr>
        <w:spacing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Південний міжрегіональний департамент (Миколаївська обл., Одеська обл., Херсонська обл., Автономна Республіка Крим)  - (048) 753 13 86.</w:t>
      </w:r>
    </w:p>
    <w:p w:rsidR="004D7F2C" w:rsidRDefault="007E348C">
      <w:pPr>
        <w:spacing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Західний міжрегіональний департамент (Львівська обл., Тернопільська обл., Хмельницька обл., Чернівецька обл., Івано-Франківська обл., Закарпатська обл., Рівненська обл., Волинська обл.)  - (032) 259 30 18.</w:t>
      </w:r>
    </w:p>
    <w:p w:rsidR="004D7F2C" w:rsidRDefault="007E348C">
      <w:pPr>
        <w:spacing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Східний міжрегіональний департамент (Дніпропетровська обл., Донецька обл., Запорізька обл., Кіровоградська обл., Луганська обл.) - 098 041 13 45.</w:t>
      </w:r>
    </w:p>
    <w:p w:rsidR="004D7F2C" w:rsidRDefault="004D7F2C">
      <w:pPr>
        <w:spacing w:line="256" w:lineRule="auto"/>
        <w:ind w:firstLine="700"/>
        <w:jc w:val="both"/>
        <w:rPr>
          <w:rFonts w:ascii="Times New Roman" w:eastAsia="Times New Roman" w:hAnsi="Times New Roman" w:cs="Times New Roman"/>
          <w:sz w:val="24"/>
          <w:szCs w:val="24"/>
        </w:rPr>
      </w:pPr>
    </w:p>
    <w:p w:rsidR="004D7F2C" w:rsidRPr="009E4F14" w:rsidRDefault="007E348C" w:rsidP="009E4F14">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D7F2C" w:rsidRPr="009E4F14">
      <w:pgSz w:w="11909" w:h="16834"/>
      <w:pgMar w:top="1440" w:right="1440" w:bottom="1440" w:left="1440" w:header="720" w:footer="720" w:gutter="0"/>
      <w:cols w:space="720" w:equalWidth="0">
        <w:col w:w="9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901"/>
    <w:multiLevelType w:val="multilevel"/>
    <w:tmpl w:val="83B66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C192E27"/>
    <w:multiLevelType w:val="multilevel"/>
    <w:tmpl w:val="75D4A2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EF01F06"/>
    <w:multiLevelType w:val="multilevel"/>
    <w:tmpl w:val="A17203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09F3A76"/>
    <w:multiLevelType w:val="multilevel"/>
    <w:tmpl w:val="22F68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7F87D4F"/>
    <w:multiLevelType w:val="multilevel"/>
    <w:tmpl w:val="10920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06D69"/>
    <w:multiLevelType w:val="multilevel"/>
    <w:tmpl w:val="342AB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5CA5320"/>
    <w:multiLevelType w:val="multilevel"/>
    <w:tmpl w:val="59186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14B0B6C"/>
    <w:multiLevelType w:val="multilevel"/>
    <w:tmpl w:val="A6C8B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4692948"/>
    <w:multiLevelType w:val="multilevel"/>
    <w:tmpl w:val="BC547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4C374A7"/>
    <w:multiLevelType w:val="multilevel"/>
    <w:tmpl w:val="0BFC1C8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FDD61A4"/>
    <w:multiLevelType w:val="multilevel"/>
    <w:tmpl w:val="58308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61F11E2"/>
    <w:multiLevelType w:val="multilevel"/>
    <w:tmpl w:val="5B9CF29A"/>
    <w:lvl w:ilvl="0">
      <w:start w:val="1"/>
      <w:numFmt w:val="decimal"/>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C151FEC"/>
    <w:multiLevelType w:val="hybridMultilevel"/>
    <w:tmpl w:val="3A148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752F45"/>
    <w:multiLevelType w:val="multilevel"/>
    <w:tmpl w:val="345AE7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D347FD1"/>
    <w:multiLevelType w:val="multilevel"/>
    <w:tmpl w:val="97CC175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8"/>
  </w:num>
  <w:num w:numId="2">
    <w:abstractNumId w:val="0"/>
  </w:num>
  <w:num w:numId="3">
    <w:abstractNumId w:val="2"/>
  </w:num>
  <w:num w:numId="4">
    <w:abstractNumId w:val="13"/>
  </w:num>
  <w:num w:numId="5">
    <w:abstractNumId w:val="3"/>
  </w:num>
  <w:num w:numId="6">
    <w:abstractNumId w:val="6"/>
  </w:num>
  <w:num w:numId="7">
    <w:abstractNumId w:val="4"/>
  </w:num>
  <w:num w:numId="8">
    <w:abstractNumId w:val="5"/>
  </w:num>
  <w:num w:numId="9">
    <w:abstractNumId w:val="9"/>
  </w:num>
  <w:num w:numId="10">
    <w:abstractNumId w:val="7"/>
  </w:num>
  <w:num w:numId="11">
    <w:abstractNumId w:val="14"/>
  </w:num>
  <w:num w:numId="12">
    <w:abstractNumId w:val="10"/>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2C"/>
    <w:rsid w:val="001106ED"/>
    <w:rsid w:val="001A4D4C"/>
    <w:rsid w:val="002526D5"/>
    <w:rsid w:val="003B047C"/>
    <w:rsid w:val="00427A1C"/>
    <w:rsid w:val="00473DCB"/>
    <w:rsid w:val="004D7F2C"/>
    <w:rsid w:val="004E57D8"/>
    <w:rsid w:val="005D685F"/>
    <w:rsid w:val="00634F99"/>
    <w:rsid w:val="00735E27"/>
    <w:rsid w:val="007E348C"/>
    <w:rsid w:val="008A520F"/>
    <w:rsid w:val="008B4EF4"/>
    <w:rsid w:val="008D1AA2"/>
    <w:rsid w:val="009D14EB"/>
    <w:rsid w:val="009E4F14"/>
    <w:rsid w:val="00A61B2E"/>
    <w:rsid w:val="00A70785"/>
    <w:rsid w:val="00AB45AD"/>
    <w:rsid w:val="00B42B34"/>
    <w:rsid w:val="00D44A30"/>
    <w:rsid w:val="00D64DD0"/>
    <w:rsid w:val="00E42654"/>
    <w:rsid w:val="00E91924"/>
    <w:rsid w:val="00F31AE4"/>
    <w:rsid w:val="00F77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646F"/>
  <w15:docId w15:val="{2F53FBB4-C354-46C0-80E8-43BD7F7C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7E348C"/>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E348C"/>
    <w:rPr>
      <w:rFonts w:ascii="Segoe UI" w:hAnsi="Segoe UI" w:cs="Segoe UI"/>
      <w:sz w:val="18"/>
      <w:szCs w:val="18"/>
    </w:rPr>
  </w:style>
  <w:style w:type="paragraph" w:styleId="ab">
    <w:name w:val="List Paragraph"/>
    <w:basedOn w:val="a"/>
    <w:uiPriority w:val="34"/>
    <w:qFormat/>
    <w:rsid w:val="0073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rttender.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10977</Words>
  <Characters>6258</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Наталія Миколаївна</dc:creator>
  <cp:lastModifiedBy>Ревенчук Ольга Валеріївна</cp:lastModifiedBy>
  <cp:revision>5</cp:revision>
  <dcterms:created xsi:type="dcterms:W3CDTF">2020-07-01T12:47:00Z</dcterms:created>
  <dcterms:modified xsi:type="dcterms:W3CDTF">2020-07-03T08:09:00Z</dcterms:modified>
</cp:coreProperties>
</file>