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7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ОГОЛОШЕННЯ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 укладення договорів про медичне обслуговування населення за програмою медичних гарантій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щодо  надання медичних послуг 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08" w14:textId="5D54203A" w:rsidR="006F0B51" w:rsidRDefault="009D2FA0" w:rsidP="0034273D">
      <w:pPr>
        <w:shd w:val="clear" w:color="auto" w:fill="FFFFFF"/>
        <w:spacing w:line="240" w:lineRule="auto"/>
        <w:ind w:right="-7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</w:t>
      </w:r>
      <w:r w:rsidR="00B3780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03.0</w:t>
      </w:r>
      <w:r w:rsidR="00B3780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7</w:t>
      </w:r>
      <w:r w:rsidR="00B3780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.202</w:t>
      </w:r>
      <w:r w:rsidR="00B3780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року </w:t>
      </w:r>
    </w:p>
    <w:p w14:paraId="00000009" w14:textId="77777777" w:rsidR="006F0B51" w:rsidRDefault="006F0B51" w:rsidP="0034273D">
      <w:pPr>
        <w:shd w:val="clear" w:color="auto" w:fill="FFFFFF"/>
        <w:spacing w:line="240" w:lineRule="auto"/>
        <w:ind w:right="-7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6F0B51" w:rsidRDefault="009D2FA0" w:rsidP="0034273D">
      <w:pPr>
        <w:spacing w:line="256" w:lineRule="auto"/>
        <w:ind w:right="-7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Подання пропозицій та їх розгляд</w:t>
      </w:r>
    </w:p>
    <w:p w14:paraId="0000000D" w14:textId="7FA12DE6" w:rsidR="006F0B51" w:rsidRDefault="009D2FA0" w:rsidP="0034273D">
      <w:pPr>
        <w:numPr>
          <w:ilvl w:val="0"/>
          <w:numId w:val="4"/>
        </w:numPr>
        <w:spacing w:line="256" w:lineRule="auto"/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 подання пропозиції спливає </w:t>
      </w:r>
      <w:r w:rsidR="00A332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 </w:t>
      </w:r>
      <w:r w:rsidR="00471D3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332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годині </w:t>
      </w:r>
      <w:r w:rsidR="0047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="00A332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 хвилин за київським часом </w:t>
      </w:r>
      <w:r w:rsidR="00471D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03</w:t>
      </w:r>
      <w:r w:rsidR="00B3780C" w:rsidRPr="004E57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78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липня</w:t>
      </w:r>
      <w:r w:rsidR="00B3780C" w:rsidRPr="004E5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Пропозиції на укладення договору, у тому числі з усунутими недоліками (повторні), подані після закінчення строку подання, не розглядаються.</w:t>
      </w:r>
    </w:p>
    <w:p w14:paraId="0000000F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 суб’єкту господарювання надіслано повідомлення про виправлення помилок у його пропозиції після граничної дати подання пропозицій, суб’єкт господарювання має право подати оновлену пропозицію протягом двох робочих днів з дня надіслання НСЗУ повідомлення про виправлення помилок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0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Заявник подає до НСЗУ пропозицію (заяву та додатки до неї) в електронній формі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заповнення електронних полів.</w:t>
      </w:r>
    </w:p>
    <w:p w14:paraId="00000011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Суб’єкт господарювання, який бажає укласти договір з НСЗУ на визначених в оголошенні умовах, до подання пропозиції повинен забезпечити внесення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 системи охорони здоров’я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актуальної інформації про:</w:t>
      </w:r>
    </w:p>
    <w:p w14:paraId="00000012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суб’єкт господарювання, місця надання ним медичних послуг та медичне обладнання, зазначене в оголошенні;</w:t>
      </w:r>
    </w:p>
    <w:p w14:paraId="00000013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ліцензію на провадження господарської діяльності з медичної практики (дата, строк дії, номер наказу, номер ліцензії та вид господарської діяльності, на право здійснення якого видано ліцензію)</w:t>
      </w:r>
    </w:p>
    <w:p w14:paraId="00000014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суб’єкти господарювання, які будуть залучені до виконання договору (підрядники);</w:t>
      </w:r>
    </w:p>
    <w:p w14:paraId="00000015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уповноважених осіб та медичних працівників, які будуть залучені до укладення або виконання договору.</w:t>
      </w:r>
    </w:p>
    <w:p w14:paraId="00000016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УВАГА: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разі коли після подання пропозиції зазначена інформація змінюється, суб’єкт господарювання повинен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у той же день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внести відповідні зміни до електронної системи охорони здоров’я.</w:t>
      </w:r>
    </w:p>
    <w:p w14:paraId="00000017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Примітка: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внесення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електронної системи охорони здоров’я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актуальної інформації про медичне обладнання, визначене в цьому Оголошенні, є обов’язковим за умови наявності відповідної технічної можливості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 системі охорони здоров’я.</w:t>
      </w:r>
    </w:p>
    <w:p w14:paraId="00000018" w14:textId="3AB8165B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НСЗУ розглядає пропозиції про укладення договору  до</w:t>
      </w:r>
      <w:r w:rsidR="00B76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1D37" w:rsidRPr="00471D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31 липня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 року включно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9" w14:textId="77777777" w:rsidR="006F0B51" w:rsidRDefault="006F0B51" w:rsidP="0034273D">
      <w:pPr>
        <w:shd w:val="clear" w:color="auto" w:fill="FFFFFF"/>
        <w:spacing w:line="240" w:lineRule="auto"/>
        <w:ind w:right="-7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Умови закупівлі медичних послуг, які будуть надаватись за Договором </w:t>
      </w:r>
    </w:p>
    <w:p w14:paraId="0000001B" w14:textId="77777777" w:rsidR="006F0B51" w:rsidRDefault="006F0B51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6F0B51" w:rsidRPr="009D2FA0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A0">
        <w:rPr>
          <w:rFonts w:ascii="Times New Roman" w:eastAsia="Times New Roman" w:hAnsi="Times New Roman" w:cs="Times New Roman"/>
          <w:sz w:val="24"/>
          <w:szCs w:val="24"/>
        </w:rPr>
        <w:t>Для належного виконання Договору надавач медичних послуг зобов’язується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послуг.</w:t>
      </w:r>
    </w:p>
    <w:p w14:paraId="0000001D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  <w:r w:rsidRPr="009D2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E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Умови надання послуги: </w:t>
      </w:r>
      <w:r w:rsidRPr="009D2FA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амбулаторно (в тому числі в умовах приймального відділення), за місцем проживання (перебування) пацієнта або з використанням засобів телекомунікації / </w:t>
      </w:r>
      <w:proofErr w:type="spellStart"/>
      <w:r w:rsidRPr="009D2FA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телемедичних</w:t>
      </w:r>
      <w:proofErr w:type="spellEnd"/>
      <w:r w:rsidRPr="009D2FA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систем (за рішенням лікуючого лікаря).</w:t>
      </w:r>
    </w:p>
    <w:p w14:paraId="0000001F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0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Підстави надання послуги:</w:t>
      </w:r>
    </w:p>
    <w:p w14:paraId="00000021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●</w:t>
      </w:r>
      <w:r w:rsidRPr="009D2FA0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направлення лікаря з надання ПМД, з яким укладено декларацію про вибір лікаря;</w:t>
      </w:r>
    </w:p>
    <w:p w14:paraId="00000022" w14:textId="6DAAEFD0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●</w:t>
      </w:r>
      <w:r w:rsidR="00073DAF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направлення лікуючого лікаря;</w:t>
      </w:r>
    </w:p>
    <w:p w14:paraId="00000023" w14:textId="32908F2D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●</w:t>
      </w:r>
      <w:r w:rsidR="00073DAF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самозвернення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лікаря-акушера-гінеколога, лікаря-гінеколога дитячого та підліткового віку, лікаря-педіатра, лікаря-психіатра, лікаря-психіатра дитячого, лікаря-психіатра підліткового, лікаря-нарколога, лікаря-стоматолога, лікаря-стоматолога дитячого;</w:t>
      </w:r>
    </w:p>
    <w:p w14:paraId="00000024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●</w:t>
      </w:r>
      <w:r w:rsidRPr="009D2FA0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самозвернення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лікаря, у якого пацієнт із хронічними захворюваннями перебуває під медичним наглядом;</w:t>
      </w:r>
    </w:p>
    <w:p w14:paraId="00000025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●</w:t>
      </w:r>
      <w:r w:rsidRPr="009D2FA0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самозвернення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невідкладному стані.</w:t>
      </w:r>
    </w:p>
    <w:p w14:paraId="00000026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7" w14:textId="7777777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Вимоги до спеціалізації та кількості фахівців:</w:t>
      </w:r>
    </w:p>
    <w:p w14:paraId="00000028" w14:textId="77777777" w:rsidR="006F0B51" w:rsidRPr="009D2FA0" w:rsidRDefault="009D2FA0" w:rsidP="0034273D">
      <w:pPr>
        <w:numPr>
          <w:ilvl w:val="0"/>
          <w:numId w:val="2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Лікар-акушер-гінеколог та/або лікар-алерголог, та/або лікар-гастроентеролог, та/або лікар-гематолог, та/або лікар-генетик,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дерматовенеролог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лікар-ендокринолог,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ендоскопіст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лікар-кардіолог, та/або лікар-ревматолог, та/або лікар-кардіолог інтервенційний, та/або лікар кардіолог-електрофізіолог,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комбустіолог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лікар-невропатолог, та/або лікар-нефролог, та/або лікар-ортопед-травматолог, та/або лікар-отоларинголог, та/або лікар-офтальмолог, та/або лікар-психолог, та/або лікар-психіатр, та/або лікар-нарколог,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пульмонолог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лікар-терапевт, та/або лікар-рентгенолог,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рефлексотерапевт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та/або лікар-стоматолог, та/або лікар-стоматолог-терапевт, та/або лікар-стоматолог-хірург, та/або лікар з ультразвукової діагностики, та/або лікар-уролог, та/або лікар-фізіотерапевт, та/або лікар-анестезіолог, та/або лікар-гінеколог-онколог, та/або лікар з функціональної діагностики, та/або лікар-фтизіатр, та/або лікар-хірург, та/або лікар-хірург-проктолог, та/або лікар-хірург-онколог, та/або лікар-радіолог, та/або лікар-хірург судинний, та/або лікар-хірург серцево-судинний, та/або лікар-хірург 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торакальний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 з лікувальної фізкультури і спортивної медицини, та/або лікар з лікувальної фізкультури, та/або лікар-нейрохірург, та/або лікар-онколог, та/або лікар-імунолог, та/або лікар фізичної та реабілітаційної медицини, та/або лікар-імунолог клінічний, та/або лікар-отоларинголог-онколог, та/або лікар-інфекціоніст, та/або лікар-токсиколог,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сурдолог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лікар-онколог дитячий, та/або лікар-гінеколог дитячого та підліткового віку, та/або лікар-ортопед-травматолог дитячий, та/або лікар-отоларинголог дитячий, та/або лікар-офтальмолог дитячий, та/або лікар-уролог дитячий, та/або лікар-хірург дитячий, та/або лікар-нейрохірург дитячий, та/або лікар-алерголог дитячий, та/або лікар-гастроентеролог дитячий, та/або лікар-гематолог дитячий,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дерматовенеролог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дитячий, та/або лікар-ендокринолог дитячий, та/або лікар-імунолог дитячий,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кардіоревматолог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дитячий, та/або лікар-ревматолог дитячий, та/або лікар-кардіолог 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дитячий,та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/або лікар-невролог дитячий, та/або лікар-нефролог дитячий, та/або лікар-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пульмонолог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дитячий, та/або лікар-психіатр дитячий, та/або лікар-фтизіатр дитячий, та/або лікар-інфекціоніст дитячий, та/або лікар-педіатр, та/або лікар-педіатр-</w:t>
      </w:r>
      <w:proofErr w:type="spellStart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неонатолог</w:t>
      </w:r>
      <w:proofErr w:type="spellEnd"/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, та/або лікар-анестезіолог дитячий, та/або лікар-стоматолог дитячий – щонайменше 2 особи з даного переліку, які працюють за основним місцем роботи в цьому закладі.</w:t>
      </w:r>
    </w:p>
    <w:p w14:paraId="00000029" w14:textId="77777777" w:rsidR="006F0B51" w:rsidRPr="009D2FA0" w:rsidRDefault="009D2FA0" w:rsidP="0034273D">
      <w:pPr>
        <w:numPr>
          <w:ilvl w:val="0"/>
          <w:numId w:val="2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Сестра медична – щонайменше 2 особи, які працюють за основним місцем роботи в цьому закладі.</w:t>
      </w:r>
    </w:p>
    <w:p w14:paraId="0000002B" w14:textId="097C24E7" w:rsidR="006F0B51" w:rsidRPr="009D2FA0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Інші вимоги:</w:t>
      </w:r>
    </w:p>
    <w:p w14:paraId="0000002C" w14:textId="77777777" w:rsidR="006F0B51" w:rsidRPr="009D2FA0" w:rsidRDefault="009D2FA0" w:rsidP="0034273D">
      <w:pPr>
        <w:numPr>
          <w:ilvl w:val="0"/>
          <w:numId w:val="8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Наявність програми з інфекційного контролю та дотримання заходів із запобігання інфекціям, пов’язаним з наданням медичної допомоги, відповідно до діючих наказів МОЗ України.</w:t>
      </w:r>
    </w:p>
    <w:p w14:paraId="0000002D" w14:textId="77777777" w:rsidR="006F0B51" w:rsidRPr="009D2FA0" w:rsidRDefault="009D2FA0" w:rsidP="0034273D">
      <w:pPr>
        <w:numPr>
          <w:ilvl w:val="0"/>
          <w:numId w:val="8"/>
        </w:numPr>
        <w:ind w:left="0" w:right="-752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 даних до електронної системи охорони здоров’я на постійній основі.</w:t>
      </w:r>
    </w:p>
    <w:p w14:paraId="0000002F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0" w14:textId="77777777" w:rsidR="006F0B51" w:rsidRDefault="009D2FA0" w:rsidP="0034273D">
      <w:pPr>
        <w:ind w:right="-75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Опис медичних послуг, які будуть надаватися за Договором (Специфікація) </w:t>
      </w:r>
    </w:p>
    <w:p w14:paraId="00000031" w14:textId="77777777" w:rsidR="006F0B51" w:rsidRDefault="006F0B51" w:rsidP="0034273D">
      <w:pPr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належного виконання Договору надавач медичних послуг зобов’язується забезпечити наступний обсяг послуги (специфікація) відповідно до потреб пацієнта:</w:t>
      </w:r>
    </w:p>
    <w:p w14:paraId="00000033" w14:textId="77777777" w:rsidR="006F0B51" w:rsidRDefault="009D2FA0" w:rsidP="0034273D">
      <w:pPr>
        <w:numPr>
          <w:ilvl w:val="0"/>
          <w:numId w:val="7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Надання консультативної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вторинної (спеціалізованої) та третинної (високоспеціалізованої) </w:t>
      </w:r>
      <w:r>
        <w:rPr>
          <w:rFonts w:ascii="Times New Roman" w:eastAsia="Times New Roman" w:hAnsi="Times New Roman" w:cs="Times New Roman"/>
          <w:sz w:val="24"/>
          <w:szCs w:val="24"/>
        </w:rPr>
        <w:t>медичної допомоги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4" w14:textId="77777777" w:rsidR="006F0B51" w:rsidRDefault="009D2FA0" w:rsidP="0034273D">
      <w:pPr>
        <w:numPr>
          <w:ilvl w:val="0"/>
          <w:numId w:val="7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інструментальних методів обстеження (рентгенологічних, ендоскопічних, ультразвукових, електрофізіологічних) відповідно до галузевих стандартів у сфері охорони здоров’я.</w:t>
      </w:r>
    </w:p>
    <w:p w14:paraId="00000035" w14:textId="005EA0D4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Проведення загально-клінічних та біохімічних лабораторних обстежень, а також лабораторних досліджень з метаболічного скринінгу відповідно до чинного законодавства.</w:t>
      </w:r>
    </w:p>
    <w:p w14:paraId="00000036" w14:textId="76DF0E49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Лікування в амбулаторних умовах.</w:t>
      </w:r>
    </w:p>
    <w:p w14:paraId="00000037" w14:textId="08BD55BF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Організація спостереження за пацієнтами із хронічними захворюваннями.</w:t>
      </w:r>
    </w:p>
    <w:p w14:paraId="00000038" w14:textId="3213DE04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Проведення малих хірургічних операцій в амбулаторних умовах.</w:t>
      </w:r>
    </w:p>
    <w:p w14:paraId="00000039" w14:textId="77777777" w:rsidR="006F0B51" w:rsidRDefault="009D2FA0" w:rsidP="0034273D">
      <w:pPr>
        <w:numPr>
          <w:ilvl w:val="0"/>
          <w:numId w:val="6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Надання вторинної (спеціалізованої) та третинної (високоспеціалізованої) медичної допомоги в умовах денного стаціонару.</w:t>
      </w:r>
    </w:p>
    <w:p w14:paraId="0000003A" w14:textId="375545D8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Ведення вагітності в амбулаторних умовах.</w:t>
      </w:r>
    </w:p>
    <w:p w14:paraId="0000003B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Надання послуг з медичної реабілітації в амбулаторних умовах, крім передбаченої іншими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пакетами медичних послуг.</w:t>
      </w:r>
    </w:p>
    <w:p w14:paraId="0000003C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Надання ургентної стоматологічної допомоги дорослим та дітям і планової стоматологічної дітям до 16 років, зокрема:</w:t>
      </w:r>
    </w:p>
    <w:p w14:paraId="0000003D" w14:textId="77777777" w:rsidR="006F0B51" w:rsidRDefault="009D2FA0" w:rsidP="0034273D">
      <w:pPr>
        <w:numPr>
          <w:ilvl w:val="0"/>
          <w:numId w:val="1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Надання планової стоматологічної допомоги дітям із наступними захворюваннями: </w:t>
      </w:r>
    </w:p>
    <w:p w14:paraId="0000003E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глибокі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фісури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тимчасових і постійних зубів;</w:t>
      </w:r>
    </w:p>
    <w:p w14:paraId="0000003F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карієс;</w:t>
      </w:r>
    </w:p>
    <w:p w14:paraId="00000040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порушення розвитку та прорізування зубів;</w:t>
      </w:r>
    </w:p>
    <w:p w14:paraId="00000041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системна гіпоплазія зубів;</w:t>
      </w:r>
    </w:p>
    <w:p w14:paraId="00000042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флюороз зубів;</w:t>
      </w:r>
    </w:p>
    <w:p w14:paraId="00000043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періодонтити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(гострі, хронічні);</w:t>
      </w:r>
    </w:p>
    <w:p w14:paraId="00000044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пародонтит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(локалізований,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генералізований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45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</w:rPr>
        <w:t>гінгівіт (катаральний гінгівіт, гіпертрофічний, виразковий (гострий перебіг);</w:t>
      </w:r>
    </w:p>
    <w:p w14:paraId="00000046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захворювання слизової оболонки порожнини рота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герпетичний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стоматит,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-некротичний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гінгівостоматит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багатоформна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ексудативна еритема, лейкоплакія, червоний плескатий лишай;</w:t>
      </w:r>
    </w:p>
    <w:p w14:paraId="00000047" w14:textId="64392F38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травматичні пошкодження слизової оболонки порожнини рота.</w:t>
      </w:r>
    </w:p>
    <w:p w14:paraId="00000048" w14:textId="77777777" w:rsidR="006F0B51" w:rsidRDefault="009D2FA0" w:rsidP="0034273D">
      <w:pPr>
        <w:numPr>
          <w:ilvl w:val="0"/>
          <w:numId w:val="1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Надання ургентної стоматологічної допомоги дітям із наступними захворюваннями:</w:t>
      </w:r>
    </w:p>
    <w:p w14:paraId="00000049" w14:textId="1B7CFD1A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пульпіти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постійних і тимчасових зубів;</w:t>
      </w:r>
    </w:p>
    <w:p w14:paraId="0000004A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періодонтит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загострений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періодонтит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постійних і тимчасових зубів;</w:t>
      </w:r>
    </w:p>
    <w:p w14:paraId="0000004B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гостра травма зубів;</w:t>
      </w:r>
    </w:p>
    <w:p w14:paraId="0000004C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-некротичний стоматит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D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-некротичний гінгівіт;</w:t>
      </w:r>
    </w:p>
    <w:p w14:paraId="0000004E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герпетичний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гінгіво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-стоматит;</w:t>
      </w:r>
    </w:p>
    <w:p w14:paraId="0000004F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хімічні опіки слизової оболонки порожнини рота;</w:t>
      </w:r>
    </w:p>
    <w:p w14:paraId="00000050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гострі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слизової оболонки порожнини рота;</w:t>
      </w:r>
    </w:p>
    <w:p w14:paraId="00000051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багатоформна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ексудативна еритема;</w:t>
      </w:r>
    </w:p>
    <w:p w14:paraId="00000052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перикоронарит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53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періостит щелеп;     </w:t>
      </w:r>
    </w:p>
    <w:p w14:paraId="00000054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алвеоліт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щелеп;</w:t>
      </w:r>
    </w:p>
    <w:p w14:paraId="00000055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абсцеси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ділянки;</w:t>
      </w:r>
    </w:p>
    <w:p w14:paraId="00000056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фурункули та карбункули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ділянки;</w:t>
      </w:r>
    </w:p>
    <w:p w14:paraId="00000057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гострі лімфаденіти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ділянки;</w:t>
      </w:r>
    </w:p>
    <w:p w14:paraId="00000058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запальні захворювання слинних залоз;</w:t>
      </w:r>
    </w:p>
    <w:p w14:paraId="00000059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травматичні ушкодження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-лицевої ділянки (перелом/вивих зуба, вивих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скронево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-нижньощелепного суглоба);</w:t>
      </w:r>
    </w:p>
    <w:p w14:paraId="0000005A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травми м'яких тканин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ділянки, губ, слизової оболонки порожнини рота та язика;</w:t>
      </w:r>
    </w:p>
    <w:p w14:paraId="0000005B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невралгія трійчатого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C" w14:textId="77777777" w:rsidR="006F0B51" w:rsidRDefault="009D2FA0" w:rsidP="0034273D">
      <w:pPr>
        <w:numPr>
          <w:ilvl w:val="0"/>
          <w:numId w:val="1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Надання ургентної стоматологічної допомоги дорослим із наступними захворюваннями:</w:t>
      </w:r>
    </w:p>
    <w:p w14:paraId="0000005D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пульпіт;</w:t>
      </w:r>
    </w:p>
    <w:p w14:paraId="0000005E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гострі та загострені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періодонтити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5F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хімічні опіки слизової оболонки порожнини рота;</w:t>
      </w:r>
    </w:p>
    <w:p w14:paraId="00000060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-некротичний стоматит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1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герпетичний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гінгіво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-стоматит;</w:t>
      </w:r>
    </w:p>
    <w:p w14:paraId="00000062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багатоформна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ексудативна еритема;</w:t>
      </w:r>
    </w:p>
    <w:p w14:paraId="00000063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перикоронарит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4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періостит;</w:t>
      </w:r>
    </w:p>
    <w:p w14:paraId="00000065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альвеоліт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щелепи;</w:t>
      </w:r>
    </w:p>
    <w:p w14:paraId="00000066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слинокам’яна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хвороба;</w:t>
      </w:r>
    </w:p>
    <w:p w14:paraId="00000067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перелом зуба;</w:t>
      </w:r>
    </w:p>
    <w:p w14:paraId="00000068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вивих зуба;</w:t>
      </w:r>
    </w:p>
    <w:p w14:paraId="00000069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невралгія трійчастого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A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вивих висково-нижньощелепного суглоба;</w:t>
      </w:r>
    </w:p>
    <w:p w14:paraId="0000006B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абсцеси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ділянки;</w:t>
      </w:r>
    </w:p>
    <w:p w14:paraId="0000006C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карбункул і фурункул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ділянки;</w:t>
      </w:r>
    </w:p>
    <w:p w14:paraId="0000006D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травми м'яких тканин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щелепно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-лицевої ділянки, губ, слизової оболонки порожнини рота та язика.</w:t>
      </w:r>
    </w:p>
    <w:p w14:paraId="0000006E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Виклик, у разі потреби, бригади екстреної (швидкої) медичної допомоги до пацієнта та надання йому невідкладної медичної допомоги до прибуття бригади ЕМД.</w:t>
      </w:r>
    </w:p>
    <w:p w14:paraId="0000006F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Направлення пацієнта при наявності показань у заклади вторинної (спеціалізованої) чи третинної (високоспеціалізованої) медичної допомоги з іншої спеціалізації для надання йому медичної допомоги.</w:t>
      </w:r>
    </w:p>
    <w:p w14:paraId="00000070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1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2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073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Суб'єкт господарювання, який бажає укласти Договір з НСЗУ, повинен відповідати Вимогам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населення, затвердженим постановою Кабінету Міністрів України від 28 березня 2018 року № 391.</w:t>
      </w:r>
    </w:p>
    <w:p w14:paraId="00000076" w14:textId="77777777" w:rsidR="006F0B51" w:rsidRPr="00073DAF" w:rsidRDefault="006F0B51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77" w14:textId="77777777" w:rsidR="006F0B51" w:rsidRDefault="009D2FA0" w:rsidP="009D2FA0">
      <w:pPr>
        <w:shd w:val="clear" w:color="auto" w:fill="FFFFFF"/>
        <w:spacing w:line="240" w:lineRule="auto"/>
        <w:ind w:right="-752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D2F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Подати пропозицію «Амбулаторна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допомогу», перейшовши за цим посиланням.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https://smarttender.biz/</w:t>
        </w:r>
      </w:hyperlink>
    </w:p>
    <w:p w14:paraId="00000078" w14:textId="77777777" w:rsidR="006F0B51" w:rsidRDefault="006F0B51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 час заповнення заяви необхідно:</w:t>
      </w:r>
    </w:p>
    <w:p w14:paraId="0000007A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зазначити інформацію про підставу, відповідно до якої діє підписант договору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юридичних осіб автоматично зазначається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«діє на підставі Статуту»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для фізичних осіб-підприємців - необхідно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вказати номер  та дату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запису в Єдиному державному реєстрі юридичних осіб, фізичних осіб-підприємців та громадських формувань)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7B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обрати місця надання послуг, які будуть включені до договору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000007C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зазначити  статистичні дані за формою звітності № 20, затвердженою наказом МОЗ від 10.07.2007 № 378, за 2018 рік;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0000007D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(суб’єкт господарювання, який було утворено в результаті злиття декількох закладів охорони здоров’я, та суб’єкт господарювання до якого було приєднано один або декілька закладів охорони здоров’я, зазначає сумарні статистичні дані закладів охорони здоров’я, правонаступником яких є)</w:t>
      </w:r>
    </w:p>
    <w:p w14:paraId="0000007E" w14:textId="12775549" w:rsidR="006F0B51" w:rsidRPr="00B24794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банківські реквізити</w:t>
      </w:r>
      <w:r w:rsidR="00410C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суб'єкта господарювання (IBAN)</w:t>
      </w:r>
      <w:r w:rsidR="00410C5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;</w:t>
      </w:r>
    </w:p>
    <w:p w14:paraId="0000007F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зазначити інформацію про підрядників, які будуть залучені до виконання договору в частині надання медичних послуг відповідно до цього Оголошення, вид медичних послуг, для надання яких будуть залучені підрядники, номер, дату та строк дії договору  укладеного з підрядником.</w:t>
      </w:r>
    </w:p>
    <w:p w14:paraId="00000080" w14:textId="77777777" w:rsidR="006F0B51" w:rsidRDefault="006F0B51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УВАГА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помилка у банківських реквізитах може призвести до необхідності проходження повторної процедури укладення договору та, відповідно, до відтермінування оплати за надані послуги. Відповідальність за правильність банківських реквізитів, які автоматично будуть відображені у проекті договору, несе суб'єкт господарювання.</w:t>
      </w:r>
    </w:p>
    <w:p w14:paraId="00000082" w14:textId="77777777" w:rsidR="006F0B51" w:rsidRDefault="006F0B51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6F0B51" w:rsidRDefault="009D2FA0" w:rsidP="0034273D">
      <w:pPr>
        <w:shd w:val="clear" w:color="auto" w:fill="FFFFFF"/>
        <w:spacing w:line="240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Разом із заявою також необхідно подати додатки до неї, які слід прикріпити  у вигляді сканованих документів у форматі PDF (далі – пропозиція). </w:t>
      </w:r>
    </w:p>
    <w:p w14:paraId="00000086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7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додатків до пропозиції</w:t>
      </w:r>
    </w:p>
    <w:p w14:paraId="00000088" w14:textId="2504709D" w:rsidR="006F0B51" w:rsidRDefault="00073DAF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1. </w:t>
      </w:r>
      <w:r w:rsidR="009D2FA0">
        <w:rPr>
          <w:rFonts w:ascii="Times New Roman" w:eastAsia="Times New Roman" w:hAnsi="Times New Roman" w:cs="Times New Roman"/>
          <w:sz w:val="24"/>
          <w:szCs w:val="24"/>
          <w:highlight w:val="white"/>
        </w:rPr>
        <w:t>Сканована копія в електронній формі документа, що підтверджує повноваження представника (у разі підписання заяви та доданих до неї документів представником суб’єкта господарювання, крім випадку, коли відомості про повноваження представника містяться в Єдиному державному реєстрі юридичних осіб, фізичних осіб - підприємців та громадських формувань).</w:t>
      </w:r>
    </w:p>
    <w:p w14:paraId="00000089" w14:textId="77777777" w:rsidR="006F0B51" w:rsidRDefault="009D2FA0" w:rsidP="0034273D">
      <w:pPr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Сканована копія чинної ліцензії на провадження господарської діяльності з медичної практики та сканована копія внесених змін, у разі їх наявності. Залежно від того, коли заклад отримав ліцензію, це може бути:</w:t>
      </w:r>
    </w:p>
    <w:p w14:paraId="0000008A" w14:textId="77777777" w:rsidR="006F0B51" w:rsidRDefault="009D2FA0" w:rsidP="0034273D">
      <w:pPr>
        <w:numPr>
          <w:ilvl w:val="0"/>
          <w:numId w:val="3"/>
        </w:numPr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ліцензія на бланку, якщо документ отримано до 01 січня 2017 року;</w:t>
      </w:r>
    </w:p>
    <w:p w14:paraId="0000008B" w14:textId="77777777" w:rsidR="006F0B51" w:rsidRDefault="009D2FA0" w:rsidP="0034273D">
      <w:pPr>
        <w:numPr>
          <w:ilvl w:val="0"/>
          <w:numId w:val="3"/>
        </w:numPr>
        <w:spacing w:after="200"/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витяг з наказу МОЗ, якщо ліцензію отримано після 01 січня 2017 року.</w:t>
      </w:r>
    </w:p>
    <w:p w14:paraId="0000008C" w14:textId="02C43A7C" w:rsidR="006F0B51" w:rsidRDefault="006F0B51" w:rsidP="0034273D">
      <w:pPr>
        <w:spacing w:after="200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D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E" w14:textId="77777777" w:rsidR="006F0B51" w:rsidRDefault="009D2FA0" w:rsidP="0034273D">
      <w:pPr>
        <w:spacing w:line="256" w:lineRule="auto"/>
        <w:ind w:right="-752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Проект додатку до договору щодо спеціальних умов надання відповідних видів медичних послуг або груп медичних послуг</w:t>
      </w:r>
    </w:p>
    <w:p w14:paraId="00000091" w14:textId="77777777" w:rsidR="006F0B51" w:rsidRDefault="006F0B51" w:rsidP="0034273D">
      <w:pPr>
        <w:spacing w:after="160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6F0B51" w:rsidRDefault="009D2FA0" w:rsidP="0034273D">
      <w:pPr>
        <w:spacing w:after="160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Протягом десяти календарних днів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дати підписання проекту договору уповноваженою особою НСЗУ керівник або уповноважена особа суб’єкта господарювання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накладає електронний підпис на такий договір. Накладенням електронного підпису на договір уповноважена особа суб’єкта господарювання підтверджує, що суб’єкт господарювання відповідає умовам закупівлі та спроможний надавати медичні послуги згідно із специфікацією.</w:t>
      </w:r>
    </w:p>
    <w:p w14:paraId="00000093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FCEDD3" w14:textId="77777777" w:rsidR="001F5993" w:rsidRDefault="001F5993" w:rsidP="00073DAF">
      <w:pPr>
        <w:shd w:val="clear" w:color="auto" w:fill="FFFFFF"/>
        <w:ind w:right="-7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8" w14:textId="25C1FBB5" w:rsidR="006F0B51" w:rsidRDefault="009D2FA0" w:rsidP="00073DAF">
      <w:pPr>
        <w:shd w:val="clear" w:color="auto" w:fill="FFFFFF"/>
        <w:ind w:right="-752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наявності будь-яких питань, які виникають під час заповнення заяви та/або подання пропозиції, звертайтеся на адресу електронної пошти: spetsdopomoga@nszu.gov.ua або на безкоштовну гарячу лінію 16-77, а також за телефонами Міжрегіональних департаментів НСЗУ: </w:t>
      </w:r>
    </w:p>
    <w:p w14:paraId="00000099" w14:textId="7EA319A1" w:rsidR="006F0B51" w:rsidRDefault="009D2FA0" w:rsidP="0034273D">
      <w:pPr>
        <w:numPr>
          <w:ilvl w:val="0"/>
          <w:numId w:val="5"/>
        </w:numPr>
        <w:spacing w:line="256" w:lineRule="auto"/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Центральний міжрегіональний департамент (м. Київ, Київська обл., Житомирська обл., Вінницька обл., Черкаська обл.) -  (</w:t>
      </w:r>
      <w:r w:rsidR="000F7A24">
        <w:rPr>
          <w:rFonts w:ascii="Times New Roman" w:eastAsia="Times New Roman" w:hAnsi="Times New Roman" w:cs="Times New Roman"/>
          <w:sz w:val="24"/>
          <w:szCs w:val="24"/>
        </w:rPr>
        <w:t>044) 299 04 86, (044) 299 04 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A" w14:textId="77777777" w:rsidR="006F0B51" w:rsidRDefault="009D2FA0" w:rsidP="0034273D">
      <w:pPr>
        <w:numPr>
          <w:ilvl w:val="0"/>
          <w:numId w:val="5"/>
        </w:numPr>
        <w:spacing w:line="256" w:lineRule="auto"/>
        <w:ind w:left="0"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Північний міжрегіональний департамент (Полтавська обл., Сумська обл., Харківська обл., Чернігівська обл.) -  (044) 299 04 96.</w:t>
      </w:r>
    </w:p>
    <w:p w14:paraId="0000009B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Південний міжрегіональний департамент (Миколаївська обл., Одеська обл., Херсонська обл., Автономна Республіка Крим)  - (048) 753 13 86.</w:t>
      </w:r>
    </w:p>
    <w:p w14:paraId="0000009C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Західний міжрегіональний департамент (Львівська обл., Тернопільська обл., Хмельницька обл., Чернівецька обл., Івано-Франківська обл., Закарпатська обл., Рівненська обл., Волинська обл.)  - (032) 259 30 18.</w:t>
      </w:r>
    </w:p>
    <w:p w14:paraId="0000009D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Східний міжрегіональний департамент (Дніпропетровська обл., Донецька обл., Запорізька обл., Кіровоградська обл., Луганська обл.) - 098 041 13 45.</w:t>
      </w:r>
    </w:p>
    <w:p w14:paraId="0000009E" w14:textId="77777777" w:rsidR="006F0B51" w:rsidRDefault="006F0B51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0" w14:textId="77777777" w:rsidR="006F0B51" w:rsidRDefault="009D2FA0" w:rsidP="0034273D">
      <w:pPr>
        <w:spacing w:line="256" w:lineRule="auto"/>
        <w:ind w:right="-7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1" w14:textId="52D5C571" w:rsidR="006F0B51" w:rsidRDefault="009D2FA0" w:rsidP="0034273D">
      <w:pPr>
        <w:spacing w:line="256" w:lineRule="auto"/>
        <w:ind w:right="-752"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F0B51" w:rsidSect="009D2FA0">
          <w:pgSz w:w="11909" w:h="16834"/>
          <w:pgMar w:top="1440" w:right="1440" w:bottom="568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C796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A5" w14:textId="77777777" w:rsidR="006F0B51" w:rsidRDefault="006F0B51" w:rsidP="00EC796A">
      <w:pPr>
        <w:spacing w:line="256" w:lineRule="auto"/>
        <w:ind w:right="-75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6F0B51">
      <w:pgSz w:w="11909" w:h="16834"/>
      <w:pgMar w:top="1440" w:right="1440" w:bottom="1440" w:left="1440" w:header="720" w:footer="720" w:gutter="0"/>
      <w:cols w:space="720" w:equalWidth="0">
        <w:col w:w="9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240"/>
    <w:multiLevelType w:val="multilevel"/>
    <w:tmpl w:val="CF84B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65C1E"/>
    <w:multiLevelType w:val="multilevel"/>
    <w:tmpl w:val="67349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6A0CE8"/>
    <w:multiLevelType w:val="multilevel"/>
    <w:tmpl w:val="8896818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5187387"/>
    <w:multiLevelType w:val="multilevel"/>
    <w:tmpl w:val="A0B0E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16E7E"/>
    <w:multiLevelType w:val="multilevel"/>
    <w:tmpl w:val="2A28ADE6"/>
    <w:lvl w:ilvl="0">
      <w:start w:val="1"/>
      <w:numFmt w:val="decimal"/>
      <w:lvlText w:val="%1."/>
      <w:lvlJc w:val="left"/>
      <w:pPr>
        <w:ind w:left="1440" w:hanging="731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7DA0668"/>
    <w:multiLevelType w:val="multilevel"/>
    <w:tmpl w:val="CAC217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FCC5BED"/>
    <w:multiLevelType w:val="multilevel"/>
    <w:tmpl w:val="DFD825A6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646175"/>
    <w:multiLevelType w:val="multilevel"/>
    <w:tmpl w:val="110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1"/>
    <w:rsid w:val="00073DAF"/>
    <w:rsid w:val="000F7A24"/>
    <w:rsid w:val="001F5993"/>
    <w:rsid w:val="0034273D"/>
    <w:rsid w:val="00353CA3"/>
    <w:rsid w:val="003E2D00"/>
    <w:rsid w:val="00410C54"/>
    <w:rsid w:val="00471D37"/>
    <w:rsid w:val="00490A7B"/>
    <w:rsid w:val="005378B9"/>
    <w:rsid w:val="005C0C70"/>
    <w:rsid w:val="006B75D5"/>
    <w:rsid w:val="006F0B51"/>
    <w:rsid w:val="007C0B02"/>
    <w:rsid w:val="00846184"/>
    <w:rsid w:val="009D2FA0"/>
    <w:rsid w:val="00A315B8"/>
    <w:rsid w:val="00A33205"/>
    <w:rsid w:val="00B24794"/>
    <w:rsid w:val="00B3780C"/>
    <w:rsid w:val="00B70E79"/>
    <w:rsid w:val="00B762CF"/>
    <w:rsid w:val="00E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00B"/>
  <w15:docId w15:val="{9A4DF899-706F-40CC-9E95-FEC66A1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tender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9510</Words>
  <Characters>5422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Наталія Миколаївна</dc:creator>
  <cp:lastModifiedBy>Ревенчук Ольга Валеріївна</cp:lastModifiedBy>
  <cp:revision>4</cp:revision>
  <dcterms:created xsi:type="dcterms:W3CDTF">2020-07-01T12:48:00Z</dcterms:created>
  <dcterms:modified xsi:type="dcterms:W3CDTF">2020-07-03T08:11:00Z</dcterms:modified>
</cp:coreProperties>
</file>