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2E6B" w14:textId="77777777" w:rsidR="009F728E" w:rsidRPr="00B52B9F" w:rsidRDefault="009F728E" w:rsidP="009F728E">
      <w:pPr>
        <w:pStyle w:val="1"/>
        <w:spacing w:before="0" w:after="0"/>
        <w:jc w:val="center"/>
        <w:rPr>
          <w:sz w:val="24"/>
          <w:szCs w:val="24"/>
        </w:rPr>
      </w:pPr>
      <w:r>
        <w:rPr>
          <w:sz w:val="24"/>
          <w:szCs w:val="24"/>
        </w:rPr>
        <w:t>ЕЗОФАГОГАСТРОДУОДЕНОСКОПІЯ</w:t>
      </w:r>
    </w:p>
    <w:p w14:paraId="4AA5C4FE" w14:textId="77777777" w:rsidR="009F728E" w:rsidRDefault="009F728E" w:rsidP="009F728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54832382" w14:textId="77777777" w:rsidR="009F728E" w:rsidRDefault="009F728E" w:rsidP="009F728E">
      <w:pPr>
        <w:numPr>
          <w:ilvl w:val="0"/>
          <w:numId w:val="3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 перед дослідженням з метою виявлення протипоказань або важливих аспектів для забезпечення проведення дослідження, а також аналіз проведених раніше досліджень (за наявності).</w:t>
      </w:r>
    </w:p>
    <w:p w14:paraId="45F606E5"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пацієнта/пацієнтки лікарем-анестезіологом перед проведенням анестезіологічного забезпечення з метою виявлення протипоказань або інших важливих аспектів щодо гарантування безпеки пацієнта/пацієнтки.</w:t>
      </w:r>
    </w:p>
    <w:p w14:paraId="0A7362C6"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Діагностична </w:t>
      </w:r>
      <w:proofErr w:type="spellStart"/>
      <w:r>
        <w:rPr>
          <w:rFonts w:ascii="Times New Roman" w:eastAsia="Times New Roman" w:hAnsi="Times New Roman" w:cs="Times New Roman"/>
          <w:color w:val="000000"/>
          <w:sz w:val="24"/>
          <w:szCs w:val="24"/>
        </w:rPr>
        <w:t>езофагогастродуоденоскопія</w:t>
      </w:r>
      <w:proofErr w:type="spellEnd"/>
      <w:r>
        <w:rPr>
          <w:rFonts w:ascii="Times New Roman" w:eastAsia="Times New Roman" w:hAnsi="Times New Roman" w:cs="Times New Roman"/>
          <w:color w:val="000000"/>
          <w:sz w:val="24"/>
          <w:szCs w:val="24"/>
        </w:rPr>
        <w:t xml:space="preserve"> для візуального огляду стравоходу,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огляд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xml:space="preserve"> в інверсії, та дванадцятипалої кишки без проведення ендоскопічних маніпуляцій.</w:t>
      </w:r>
    </w:p>
    <w:p w14:paraId="07A108C5"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Езофагогастродуоденоскопія</w:t>
      </w:r>
      <w:proofErr w:type="spellEnd"/>
      <w:r>
        <w:rPr>
          <w:rFonts w:ascii="Times New Roman" w:eastAsia="Times New Roman" w:hAnsi="Times New Roman" w:cs="Times New Roman"/>
          <w:color w:val="000000"/>
          <w:sz w:val="24"/>
          <w:szCs w:val="24"/>
        </w:rPr>
        <w:t xml:space="preserve"> для візуального огляду стравоходу,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огляд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xml:space="preserve"> в інверсії, та дванадцятипалої кишки з ендоскопічною маніпуляцією (зокрема, взяттям матеріалу для гістологічного дослідження) та/або ендоскопічною операцією.</w:t>
      </w:r>
    </w:p>
    <w:p w14:paraId="47DA21F1"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roofErr w:type="spellStart"/>
      <w:r>
        <w:rPr>
          <w:rFonts w:ascii="Times New Roman" w:eastAsia="Times New Roman" w:hAnsi="Times New Roman" w:cs="Times New Roman"/>
          <w:color w:val="000000"/>
          <w:sz w:val="24"/>
          <w:szCs w:val="24"/>
        </w:rPr>
        <w:t>поліпозиційної</w:t>
      </w:r>
      <w:proofErr w:type="spellEnd"/>
      <w:r>
        <w:rPr>
          <w:rFonts w:ascii="Times New Roman" w:eastAsia="Times New Roman" w:hAnsi="Times New Roman" w:cs="Times New Roman"/>
          <w:color w:val="000000"/>
          <w:sz w:val="24"/>
          <w:szCs w:val="24"/>
        </w:rPr>
        <w:t xml:space="preserve"> біопсії для оцінки за системами «OLGA»/«OLGIM» (оперативні системи оцінки гастриту) (в </w:t>
      </w:r>
      <w:proofErr w:type="spellStart"/>
      <w:r>
        <w:rPr>
          <w:rFonts w:ascii="Times New Roman" w:eastAsia="Times New Roman" w:hAnsi="Times New Roman" w:cs="Times New Roman"/>
          <w:color w:val="000000"/>
          <w:sz w:val="24"/>
          <w:szCs w:val="24"/>
        </w:rPr>
        <w:t>антральному</w:t>
      </w:r>
      <w:proofErr w:type="spellEnd"/>
      <w:r>
        <w:rPr>
          <w:rFonts w:ascii="Times New Roman" w:eastAsia="Times New Roman" w:hAnsi="Times New Roman" w:cs="Times New Roman"/>
          <w:color w:val="000000"/>
          <w:sz w:val="24"/>
          <w:szCs w:val="24"/>
        </w:rPr>
        <w:t xml:space="preserve"> відділі по малій і великій кривизні, кут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xml:space="preserve">, у тілі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xml:space="preserve"> по великій і малій кривизні) для діагностики передракових змін слизової оболонки </w:t>
      </w:r>
      <w:proofErr w:type="spellStart"/>
      <w:r>
        <w:rPr>
          <w:rFonts w:ascii="Times New Roman" w:eastAsia="Times New Roman" w:hAnsi="Times New Roman" w:cs="Times New Roman"/>
          <w:color w:val="000000"/>
          <w:sz w:val="24"/>
          <w:szCs w:val="24"/>
        </w:rPr>
        <w:t>шлунка</w:t>
      </w:r>
      <w:proofErr w:type="spellEnd"/>
      <w:r>
        <w:rPr>
          <w:rFonts w:ascii="Times New Roman" w:eastAsia="Times New Roman" w:hAnsi="Times New Roman" w:cs="Times New Roman"/>
          <w:color w:val="000000"/>
          <w:sz w:val="24"/>
          <w:szCs w:val="24"/>
        </w:rPr>
        <w:t>, за наявності показань.</w:t>
      </w:r>
    </w:p>
    <w:p w14:paraId="1654F31E"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Вимірювання вистеленого циліндричним епітелієм стравоходу (CLE) згідно з Празькою класифікацією «C&amp;M».</w:t>
      </w:r>
    </w:p>
    <w:p w14:paraId="53FF9433"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місцевої або загальної анестезії.</w:t>
      </w:r>
    </w:p>
    <w:p w14:paraId="0EE53B40"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та направлення біологічного матеріалу, взятого під час проведення процедури, для проведення гістологічного дослідження.</w:t>
      </w:r>
    </w:p>
    <w:p w14:paraId="0B1ECE1C"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заключення та протоколу ендоскопічного втручання одразу після його проведення у повному обсязі з використанням стандартної термінології та класифікацій.</w:t>
      </w:r>
    </w:p>
    <w:p w14:paraId="37D5C311"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а також виклик бригади екстреної (швидкої) медичної допомоги за потреби та надання невідкладної медичної допомоги до її прибуття.</w:t>
      </w:r>
    </w:p>
    <w:p w14:paraId="1EA9342D" w14:textId="77777777" w:rsidR="009F728E" w:rsidRDefault="009F728E" w:rsidP="009F728E">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інших медичних послуг.</w:t>
      </w:r>
    </w:p>
    <w:p w14:paraId="5C436362" w14:textId="77777777" w:rsidR="009F728E" w:rsidRDefault="009F728E" w:rsidP="009F728E">
      <w:pPr>
        <w:numPr>
          <w:ilvl w:val="0"/>
          <w:numId w:val="36"/>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 результатів обстеження (фото/</w:t>
      </w:r>
      <w:proofErr w:type="spellStart"/>
      <w:r>
        <w:rPr>
          <w:rFonts w:ascii="Times New Roman" w:eastAsia="Times New Roman" w:hAnsi="Times New Roman" w:cs="Times New Roman"/>
          <w:color w:val="000000"/>
          <w:sz w:val="24"/>
          <w:szCs w:val="24"/>
        </w:rPr>
        <w:t>відеофіксація</w:t>
      </w:r>
      <w:proofErr w:type="spellEnd"/>
      <w:r>
        <w:rPr>
          <w:rFonts w:ascii="Times New Roman" w:eastAsia="Times New Roman" w:hAnsi="Times New Roman" w:cs="Times New Roman"/>
          <w:color w:val="000000"/>
          <w:sz w:val="24"/>
          <w:szCs w:val="24"/>
        </w:rPr>
        <w:t>) на цифровий носій пацієнта/пацієнтки (за бажанням).</w:t>
      </w:r>
    </w:p>
    <w:p w14:paraId="204899EB" w14:textId="77777777" w:rsidR="009F728E" w:rsidRDefault="009F728E" w:rsidP="009F728E"/>
    <w:sdt>
      <w:sdtPr>
        <w:tag w:val="goog_rdk_0"/>
        <w:id w:val="-554388940"/>
      </w:sdtPr>
      <w:sdtContent>
        <w:p w14:paraId="1C4594C1" w14:textId="77777777" w:rsidR="009F728E" w:rsidRDefault="009F728E" w:rsidP="009F728E">
          <w:pPr>
            <w:pStyle w:val="1"/>
            <w:spacing w:before="0" w:after="0"/>
            <w:jc w:val="center"/>
          </w:pPr>
          <w:r>
            <w:rPr>
              <w:color w:val="000000"/>
              <w:sz w:val="24"/>
              <w:szCs w:val="24"/>
            </w:rPr>
            <w:t>ЕЗОФАГОГАСТРОДУОДЕНОСКОПІЯ</w:t>
          </w:r>
        </w:p>
      </w:sdtContent>
    </w:sdt>
    <w:p w14:paraId="3468756C" w14:textId="77777777" w:rsidR="009F728E" w:rsidRDefault="009F728E" w:rsidP="009F728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ab/>
        <w:t>Умови закупівлі медичних послуг</w:t>
      </w:r>
    </w:p>
    <w:p w14:paraId="266D8AC0" w14:textId="77777777" w:rsidR="009F728E" w:rsidRDefault="009F728E" w:rsidP="009F728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Умови надання послуги: </w:t>
      </w:r>
      <w:r>
        <w:rPr>
          <w:rFonts w:ascii="Times New Roman" w:eastAsia="Times New Roman" w:hAnsi="Times New Roman" w:cs="Times New Roman"/>
          <w:color w:val="000000"/>
          <w:sz w:val="24"/>
          <w:szCs w:val="24"/>
        </w:rPr>
        <w:t>амбулаторно.</w:t>
      </w:r>
    </w:p>
    <w:p w14:paraId="5370AB69" w14:textId="77777777" w:rsidR="009F728E" w:rsidRDefault="009F728E" w:rsidP="009F728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p>
    <w:p w14:paraId="246CB5CF" w14:textId="77777777" w:rsidR="009F728E" w:rsidRDefault="009F728E" w:rsidP="009F728E">
      <w:pPr>
        <w:numPr>
          <w:ilvl w:val="0"/>
          <w:numId w:val="37"/>
        </w:numPr>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798797CB" w14:textId="77777777" w:rsidR="009F728E" w:rsidRDefault="009F728E" w:rsidP="009F728E">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направлення лікуючого лікаря;</w:t>
      </w:r>
    </w:p>
    <w:p w14:paraId="61D73F87" w14:textId="77777777" w:rsidR="009F728E" w:rsidRDefault="009F728E" w:rsidP="009F728E">
      <w:pPr>
        <w:numPr>
          <w:ilvl w:val="0"/>
          <w:numId w:val="37"/>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вік пацієнта/пацієнтки – від 50 років і старше.</w:t>
      </w:r>
    </w:p>
    <w:p w14:paraId="19AD16C1" w14:textId="77777777" w:rsidR="009F728E" w:rsidRDefault="009F728E" w:rsidP="009F728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допомоги:</w:t>
      </w:r>
    </w:p>
    <w:p w14:paraId="204EB57E" w14:textId="77777777" w:rsidR="009F728E" w:rsidRDefault="009F728E" w:rsidP="009F728E">
      <w:pPr>
        <w:numPr>
          <w:ilvl w:val="0"/>
          <w:numId w:val="28"/>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Забезпечення фотофіксації (щонайменше 8 </w:t>
      </w:r>
      <w:proofErr w:type="spellStart"/>
      <w:r>
        <w:rPr>
          <w:rFonts w:ascii="Times New Roman" w:eastAsia="Times New Roman" w:hAnsi="Times New Roman" w:cs="Times New Roman"/>
          <w:color w:val="000000"/>
          <w:sz w:val="24"/>
          <w:szCs w:val="24"/>
          <w:highlight w:val="white"/>
        </w:rPr>
        <w:t>знімків,що</w:t>
      </w:r>
      <w:proofErr w:type="spellEnd"/>
      <w:r>
        <w:rPr>
          <w:rFonts w:ascii="Times New Roman" w:eastAsia="Times New Roman" w:hAnsi="Times New Roman" w:cs="Times New Roman"/>
          <w:color w:val="000000"/>
          <w:sz w:val="24"/>
          <w:szCs w:val="24"/>
          <w:highlight w:val="white"/>
        </w:rPr>
        <w:t xml:space="preserve"> зберігаються в медичній документації) та/або повної </w:t>
      </w:r>
      <w:proofErr w:type="spellStart"/>
      <w:r>
        <w:rPr>
          <w:rFonts w:ascii="Times New Roman" w:eastAsia="Times New Roman" w:hAnsi="Times New Roman" w:cs="Times New Roman"/>
          <w:color w:val="000000"/>
          <w:sz w:val="24"/>
          <w:szCs w:val="24"/>
          <w:highlight w:val="white"/>
        </w:rPr>
        <w:t>відеофіксації</w:t>
      </w:r>
      <w:proofErr w:type="spellEnd"/>
      <w:r>
        <w:rPr>
          <w:rFonts w:ascii="Times New Roman" w:eastAsia="Times New Roman" w:hAnsi="Times New Roman" w:cs="Times New Roman"/>
          <w:color w:val="000000"/>
          <w:sz w:val="24"/>
          <w:szCs w:val="24"/>
          <w:highlight w:val="white"/>
        </w:rPr>
        <w:t xml:space="preserve"> всього дослідження зі зберіганням цифрових фото/відеоматеріалів протягом 2 років  з фіксуванням головних орієнтирів:</w:t>
      </w:r>
    </w:p>
    <w:p w14:paraId="06957247"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 рівні 20 см від різців для загальної візуалізації стравоходу; </w:t>
      </w:r>
    </w:p>
    <w:p w14:paraId="2E4DB68E"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 2 </w:t>
      </w:r>
      <w:proofErr w:type="spellStart"/>
      <w:r>
        <w:rPr>
          <w:rFonts w:ascii="Times New Roman" w:eastAsia="Times New Roman" w:hAnsi="Times New Roman" w:cs="Times New Roman"/>
          <w:color w:val="000000"/>
          <w:sz w:val="24"/>
          <w:szCs w:val="24"/>
          <w:highlight w:val="white"/>
        </w:rPr>
        <w:t>cм</w:t>
      </w:r>
      <w:proofErr w:type="spellEnd"/>
      <w:r>
        <w:rPr>
          <w:rFonts w:ascii="Times New Roman" w:eastAsia="Times New Roman" w:hAnsi="Times New Roman" w:cs="Times New Roman"/>
          <w:color w:val="000000"/>
          <w:sz w:val="24"/>
          <w:szCs w:val="24"/>
          <w:highlight w:val="white"/>
        </w:rPr>
        <w:t xml:space="preserve"> вище Z лінії; </w:t>
      </w:r>
    </w:p>
    <w:p w14:paraId="7661383B"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кардія в інверсії; </w:t>
      </w:r>
    </w:p>
    <w:p w14:paraId="0AB716B0"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верхня частина малої кривизни; </w:t>
      </w:r>
    </w:p>
    <w:p w14:paraId="2CEE1D1B"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кут шлунку з невеликою інверсією; </w:t>
      </w:r>
    </w:p>
    <w:p w14:paraId="45DF4D01"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антрум</w:t>
      </w:r>
      <w:proofErr w:type="spellEnd"/>
      <w:r>
        <w:rPr>
          <w:rFonts w:ascii="Times New Roman" w:eastAsia="Times New Roman" w:hAnsi="Times New Roman" w:cs="Times New Roman"/>
          <w:color w:val="000000"/>
          <w:sz w:val="24"/>
          <w:szCs w:val="24"/>
          <w:highlight w:val="white"/>
        </w:rPr>
        <w:t>; </w:t>
      </w:r>
    </w:p>
    <w:p w14:paraId="229A020C"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цибулина дванадцятипалої кишки; </w:t>
      </w:r>
    </w:p>
    <w:p w14:paraId="094D424E"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другої частини дванадцятипалої кишки (низхідний відділ); </w:t>
      </w:r>
    </w:p>
    <w:p w14:paraId="73F569CC" w14:textId="77777777" w:rsidR="009F728E" w:rsidRDefault="009F728E" w:rsidP="009F728E">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локальних змін слизової оболонки та всіх утворень (поліпів, виразок, пухлин тощо).</w:t>
      </w:r>
    </w:p>
    <w:p w14:paraId="28E8B18B"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гістологічного дослідження у закладі охорони здоров’я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01EFF3D9"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кімнати/зони для спостереження за станом пацієнтів після ендоскопічного дослідження/втручання.</w:t>
      </w:r>
    </w:p>
    <w:p w14:paraId="6D6A70D8"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27780456"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424B1702"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55BE714E"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060DA56A"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вимог законодавства у сфері протидії насильству, в тому числі виявлення ознак насильства у  пацієнтів та повідомлення відповідних служб згідно із затвердженим законодавством.</w:t>
      </w:r>
    </w:p>
    <w:p w14:paraId="548F9272"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22F20F6F" w14:textId="77777777" w:rsidR="009F728E" w:rsidRDefault="009F728E" w:rsidP="009F728E">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3B46DE01" w14:textId="77777777" w:rsidR="009F728E" w:rsidRDefault="009F728E" w:rsidP="009F728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28BFAD8C" w14:textId="77777777" w:rsidR="009F728E" w:rsidRDefault="009F728E" w:rsidP="009F728E">
      <w:pPr>
        <w:numPr>
          <w:ilvl w:val="0"/>
          <w:numId w:val="29"/>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5C719DE3" w14:textId="77777777" w:rsidR="009F728E" w:rsidRDefault="009F728E" w:rsidP="009F728E">
      <w:pPr>
        <w:numPr>
          <w:ilvl w:val="0"/>
          <w:numId w:val="34"/>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w:t>
      </w:r>
      <w:proofErr w:type="spellStart"/>
      <w:r>
        <w:rPr>
          <w:rFonts w:ascii="Times New Roman" w:eastAsia="Times New Roman" w:hAnsi="Times New Roman" w:cs="Times New Roman"/>
          <w:color w:val="000000"/>
          <w:sz w:val="24"/>
          <w:szCs w:val="24"/>
        </w:rPr>
        <w:t>ендоскопіст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w:t>
      </w:r>
    </w:p>
    <w:p w14:paraId="0DC2F8FE" w14:textId="77777777" w:rsidR="009F728E" w:rsidRDefault="009F728E" w:rsidP="009F728E">
      <w:pPr>
        <w:numPr>
          <w:ilvl w:val="0"/>
          <w:numId w:val="34"/>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одна особа, яка працює за основним місцем роботи у цьому ЗОЗ або за сумісництвом.</w:t>
      </w:r>
    </w:p>
    <w:p w14:paraId="0BD6CE7E" w14:textId="77777777" w:rsidR="009F728E" w:rsidRDefault="009F728E" w:rsidP="009F728E">
      <w:pPr>
        <w:pBdr>
          <w:top w:val="nil"/>
          <w:left w:val="nil"/>
          <w:bottom w:val="nil"/>
          <w:right w:val="nil"/>
          <w:between w:val="nil"/>
        </w:pBdr>
        <w:spacing w:before="240" w:after="24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ЗОЗ:</w:t>
      </w:r>
    </w:p>
    <w:p w14:paraId="4ABC5D50" w14:textId="77777777" w:rsidR="009F728E" w:rsidRDefault="009F728E" w:rsidP="009F728E">
      <w:pPr>
        <w:numPr>
          <w:ilvl w:val="0"/>
          <w:numId w:val="35"/>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одна особа, яка працює за основним місцем роботи у цьому ЗОЗ або за сумісництвом.</w:t>
      </w:r>
    </w:p>
    <w:p w14:paraId="37549FFA" w14:textId="77777777" w:rsidR="009F728E" w:rsidRDefault="009F728E" w:rsidP="009F728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переліку обладнання:</w:t>
      </w:r>
    </w:p>
    <w:p w14:paraId="448A1276" w14:textId="77777777" w:rsidR="009F728E" w:rsidRDefault="009F728E" w:rsidP="009F728E">
      <w:pPr>
        <w:numPr>
          <w:ilvl w:val="0"/>
          <w:numId w:val="30"/>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(кабінет):</w:t>
      </w:r>
    </w:p>
    <w:p w14:paraId="7FF30E22" w14:textId="77777777" w:rsidR="009F728E" w:rsidRP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sidRPr="009F728E">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sidRPr="009F728E">
        <w:rPr>
          <w:rFonts w:ascii="Times New Roman" w:eastAsia="Times New Roman" w:hAnsi="Times New Roman" w:cs="Times New Roman"/>
          <w:color w:val="000000"/>
          <w:sz w:val="24"/>
          <w:szCs w:val="24"/>
        </w:rPr>
        <w:t>газифікаційна</w:t>
      </w:r>
      <w:proofErr w:type="spellEnd"/>
      <w:r w:rsidRPr="009F728E">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10 л/хв;</w:t>
      </w:r>
    </w:p>
    <w:p w14:paraId="2A722351"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відеогастроскоп</w:t>
      </w:r>
      <w:proofErr w:type="spellEnd"/>
      <w:r>
        <w:rPr>
          <w:rFonts w:ascii="Times New Roman" w:eastAsia="Times New Roman" w:hAnsi="Times New Roman" w:cs="Times New Roman"/>
          <w:color w:val="000000"/>
          <w:sz w:val="24"/>
          <w:szCs w:val="24"/>
        </w:rPr>
        <w:t>;</w:t>
      </w:r>
    </w:p>
    <w:p w14:paraId="77C1A2BA"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ендоскопічні інструменти;</w:t>
      </w:r>
    </w:p>
    <w:p w14:paraId="5A8CC4A3"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відеопроцесор</w:t>
      </w:r>
      <w:proofErr w:type="spellEnd"/>
      <w:r>
        <w:rPr>
          <w:rFonts w:ascii="Times New Roman" w:eastAsia="Times New Roman" w:hAnsi="Times New Roman" w:cs="Times New Roman"/>
          <w:color w:val="000000"/>
          <w:sz w:val="24"/>
          <w:szCs w:val="24"/>
        </w:rPr>
        <w:t>;</w:t>
      </w:r>
    </w:p>
    <w:p w14:paraId="65607FD9"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монітор;</w:t>
      </w:r>
    </w:p>
    <w:p w14:paraId="4215917B"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освітлювач;</w:t>
      </w:r>
    </w:p>
    <w:p w14:paraId="507AF9DE"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аспіратор (відсмоктувач);</w:t>
      </w:r>
    </w:p>
    <w:p w14:paraId="18D09FDA"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16913EBF"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ларингоскоп з набором клинків;</w:t>
      </w:r>
    </w:p>
    <w:p w14:paraId="5D20E2FA"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аптечка для надання невідкладної допомоги;</w:t>
      </w:r>
    </w:p>
    <w:p w14:paraId="51B0767F"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термометр безконтактний;</w:t>
      </w:r>
    </w:p>
    <w:p w14:paraId="79BED2A1"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r>
        <w:rPr>
          <w:rFonts w:ascii="Times New Roman" w:eastAsia="Times New Roman" w:hAnsi="Times New Roman" w:cs="Times New Roman"/>
          <w:color w:val="000000"/>
          <w:sz w:val="24"/>
          <w:szCs w:val="24"/>
        </w:rPr>
        <w:t>тонометр;</w:t>
      </w:r>
    </w:p>
    <w:p w14:paraId="28A36B4B" w14:textId="77777777" w:rsidR="009F728E" w:rsidRDefault="009F728E" w:rsidP="009F728E">
      <w:pPr>
        <w:numPr>
          <w:ilvl w:val="1"/>
          <w:numId w:val="19"/>
        </w:numPr>
        <w:pBdr>
          <w:top w:val="nil"/>
          <w:left w:val="nil"/>
          <w:bottom w:val="nil"/>
          <w:right w:val="nil"/>
          <w:between w:val="nil"/>
        </w:pBdr>
        <w:spacing w:after="0" w:line="240" w:lineRule="auto"/>
        <w:ind w:left="709" w:hanging="283"/>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2057D904" w14:textId="77777777" w:rsidR="009F728E" w:rsidRDefault="009F728E" w:rsidP="009F728E">
      <w:pPr>
        <w:pBdr>
          <w:top w:val="nil"/>
          <w:left w:val="nil"/>
          <w:bottom w:val="nil"/>
          <w:right w:val="nil"/>
          <w:between w:val="nil"/>
        </w:pBdr>
        <w:spacing w:before="240" w:after="24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ЗОЗ </w:t>
      </w:r>
      <w:r w:rsidRPr="009F728E">
        <w:rPr>
          <w:rFonts w:ascii="Times New Roman" w:eastAsia="Times New Roman" w:hAnsi="Times New Roman" w:cs="Times New Roman"/>
          <w:color w:val="000000"/>
          <w:sz w:val="24"/>
          <w:szCs w:val="24"/>
        </w:rPr>
        <w:t>(за місцем розташування кабінету):</w:t>
      </w:r>
    </w:p>
    <w:p w14:paraId="652D2DD7" w14:textId="77777777" w:rsidR="009F728E" w:rsidRDefault="009F728E" w:rsidP="009F728E">
      <w:pPr>
        <w:numPr>
          <w:ilvl w:val="1"/>
          <w:numId w:val="30"/>
        </w:numPr>
        <w:pBdr>
          <w:top w:val="nil"/>
          <w:left w:val="nil"/>
          <w:bottom w:val="nil"/>
          <w:right w:val="nil"/>
          <w:between w:val="nil"/>
        </w:pBdr>
        <w:spacing w:before="240"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11448493" w14:textId="77777777" w:rsidR="009F728E" w:rsidRDefault="009F728E" w:rsidP="009F728E">
      <w:pPr>
        <w:numPr>
          <w:ilvl w:val="1"/>
          <w:numId w:val="30"/>
        </w:numPr>
        <w:pBdr>
          <w:top w:val="nil"/>
          <w:left w:val="nil"/>
          <w:bottom w:val="nil"/>
          <w:right w:val="nil"/>
          <w:between w:val="nil"/>
        </w:pBdr>
        <w:spacing w:before="240"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w:t>
      </w:r>
    </w:p>
    <w:p w14:paraId="0C9EAB5C" w14:textId="77777777" w:rsidR="009F728E" w:rsidRDefault="009F728E" w:rsidP="009F728E">
      <w:pPr>
        <w:numPr>
          <w:ilvl w:val="1"/>
          <w:numId w:val="30"/>
        </w:numPr>
        <w:pBdr>
          <w:top w:val="nil"/>
          <w:left w:val="nil"/>
          <w:bottom w:val="nil"/>
          <w:right w:val="nil"/>
          <w:between w:val="nil"/>
        </w:pBdr>
        <w:spacing w:before="240"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3E20A57D" w14:textId="77777777" w:rsidR="009F728E" w:rsidRDefault="009F728E" w:rsidP="009F728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w:t>
      </w:r>
    </w:p>
    <w:p w14:paraId="057987AD" w14:textId="77777777" w:rsidR="009F728E" w:rsidRDefault="009F728E" w:rsidP="009F728E">
      <w:pPr>
        <w:numPr>
          <w:ilvl w:val="0"/>
          <w:numId w:val="31"/>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ендоскопія, анестезіологія.</w:t>
      </w:r>
    </w:p>
    <w:p w14:paraId="2256B477" w14:textId="77777777" w:rsidR="00000000" w:rsidRPr="009F728E" w:rsidRDefault="009F728E" w:rsidP="009F728E">
      <w:pPr>
        <w:numPr>
          <w:ilvl w:val="0"/>
          <w:numId w:val="31"/>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9F728E">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sectPr w:rsidR="00F526A8" w:rsidRPr="009F72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C8"/>
    <w:multiLevelType w:val="multilevel"/>
    <w:tmpl w:val="EE0E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7DF2"/>
    <w:multiLevelType w:val="multilevel"/>
    <w:tmpl w:val="E992122C"/>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15DA2"/>
    <w:multiLevelType w:val="multilevel"/>
    <w:tmpl w:val="91A87582"/>
    <w:lvl w:ilvl="0">
      <w:start w:val="1"/>
      <w:numFmt w:val="lowerLetter"/>
      <w:lvlText w:val="%1."/>
      <w:lvlJc w:val="left"/>
      <w:pPr>
        <w:ind w:left="720" w:hanging="360"/>
      </w:pPr>
      <w:rPr>
        <w:rFonts w:ascii="Times New Roman" w:eastAsia="Times New Roman" w:hAnsi="Times New Roman" w:cs="Times New Roman"/>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16AD3"/>
    <w:multiLevelType w:val="multilevel"/>
    <w:tmpl w:val="DA0EFD1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2A65E9"/>
    <w:multiLevelType w:val="multilevel"/>
    <w:tmpl w:val="CCAC8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BA2E5A"/>
    <w:multiLevelType w:val="multilevel"/>
    <w:tmpl w:val="DC765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2474D0"/>
    <w:multiLevelType w:val="multilevel"/>
    <w:tmpl w:val="309C5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8A772E7"/>
    <w:multiLevelType w:val="multilevel"/>
    <w:tmpl w:val="B1E8A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013CE5"/>
    <w:multiLevelType w:val="multilevel"/>
    <w:tmpl w:val="9AA06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C471E2"/>
    <w:multiLevelType w:val="multilevel"/>
    <w:tmpl w:val="5D68E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069744B"/>
    <w:multiLevelType w:val="multilevel"/>
    <w:tmpl w:val="64545FC8"/>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741F0C"/>
    <w:multiLevelType w:val="multilevel"/>
    <w:tmpl w:val="96D87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EF5393"/>
    <w:multiLevelType w:val="multilevel"/>
    <w:tmpl w:val="043E24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92F03FD"/>
    <w:multiLevelType w:val="multilevel"/>
    <w:tmpl w:val="82D8F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B8C25AB"/>
    <w:multiLevelType w:val="multilevel"/>
    <w:tmpl w:val="B7CED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F3C137A"/>
    <w:multiLevelType w:val="multilevel"/>
    <w:tmpl w:val="D5FE2BA8"/>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7469A9"/>
    <w:multiLevelType w:val="multilevel"/>
    <w:tmpl w:val="94A893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0CD48D0"/>
    <w:multiLevelType w:val="multilevel"/>
    <w:tmpl w:val="41C2FE5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5D1BB4"/>
    <w:multiLevelType w:val="multilevel"/>
    <w:tmpl w:val="EC3EAFE8"/>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2046AA"/>
    <w:multiLevelType w:val="multilevel"/>
    <w:tmpl w:val="4ABC9AA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3D5FB2"/>
    <w:multiLevelType w:val="multilevel"/>
    <w:tmpl w:val="1AF24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79D060F"/>
    <w:multiLevelType w:val="multilevel"/>
    <w:tmpl w:val="33D24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A7A7780"/>
    <w:multiLevelType w:val="multilevel"/>
    <w:tmpl w:val="7D7A2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BE25FC2"/>
    <w:multiLevelType w:val="multilevel"/>
    <w:tmpl w:val="AF865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B837F4"/>
    <w:multiLevelType w:val="multilevel"/>
    <w:tmpl w:val="A048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C61E58"/>
    <w:multiLevelType w:val="multilevel"/>
    <w:tmpl w:val="9374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CD3EFF"/>
    <w:multiLevelType w:val="multilevel"/>
    <w:tmpl w:val="07E6507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F939E4"/>
    <w:multiLevelType w:val="multilevel"/>
    <w:tmpl w:val="3088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A5748DE"/>
    <w:multiLevelType w:val="multilevel"/>
    <w:tmpl w:val="8738E0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4E6F8B"/>
    <w:multiLevelType w:val="multilevel"/>
    <w:tmpl w:val="0FA2F7A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F52849"/>
    <w:multiLevelType w:val="multilevel"/>
    <w:tmpl w:val="791C8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E341D00"/>
    <w:multiLevelType w:val="multilevel"/>
    <w:tmpl w:val="7EC6F914"/>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5852A4"/>
    <w:multiLevelType w:val="multilevel"/>
    <w:tmpl w:val="55EA5576"/>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9D1A1B"/>
    <w:multiLevelType w:val="multilevel"/>
    <w:tmpl w:val="6380A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68638D4"/>
    <w:multiLevelType w:val="multilevel"/>
    <w:tmpl w:val="9FD8C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7F378A3"/>
    <w:multiLevelType w:val="multilevel"/>
    <w:tmpl w:val="C33C7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3F781D"/>
    <w:multiLevelType w:val="multilevel"/>
    <w:tmpl w:val="92C886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5833226">
    <w:abstractNumId w:val="28"/>
  </w:num>
  <w:num w:numId="2" w16cid:durableId="82606051">
    <w:abstractNumId w:val="19"/>
  </w:num>
  <w:num w:numId="3" w16cid:durableId="1342203856">
    <w:abstractNumId w:val="17"/>
  </w:num>
  <w:num w:numId="4" w16cid:durableId="120073077">
    <w:abstractNumId w:val="1"/>
  </w:num>
  <w:num w:numId="5" w16cid:durableId="926186348">
    <w:abstractNumId w:val="24"/>
  </w:num>
  <w:num w:numId="6" w16cid:durableId="713503545">
    <w:abstractNumId w:val="31"/>
  </w:num>
  <w:num w:numId="7" w16cid:durableId="713849732">
    <w:abstractNumId w:val="3"/>
  </w:num>
  <w:num w:numId="8" w16cid:durableId="39021318">
    <w:abstractNumId w:val="2"/>
  </w:num>
  <w:num w:numId="9" w16cid:durableId="724261924">
    <w:abstractNumId w:val="11"/>
  </w:num>
  <w:num w:numId="10" w16cid:durableId="61682985">
    <w:abstractNumId w:val="27"/>
  </w:num>
  <w:num w:numId="11" w16cid:durableId="699278389">
    <w:abstractNumId w:val="12"/>
  </w:num>
  <w:num w:numId="12" w16cid:durableId="1634481884">
    <w:abstractNumId w:val="9"/>
  </w:num>
  <w:num w:numId="13" w16cid:durableId="1937908769">
    <w:abstractNumId w:val="4"/>
  </w:num>
  <w:num w:numId="14" w16cid:durableId="399988177">
    <w:abstractNumId w:val="35"/>
  </w:num>
  <w:num w:numId="15" w16cid:durableId="921256440">
    <w:abstractNumId w:val="5"/>
  </w:num>
  <w:num w:numId="16" w16cid:durableId="272328778">
    <w:abstractNumId w:val="26"/>
  </w:num>
  <w:num w:numId="17" w16cid:durableId="1842694986">
    <w:abstractNumId w:val="7"/>
  </w:num>
  <w:num w:numId="18" w16cid:durableId="2012565802">
    <w:abstractNumId w:val="34"/>
  </w:num>
  <w:num w:numId="19" w16cid:durableId="2131781237">
    <w:abstractNumId w:val="15"/>
  </w:num>
  <w:num w:numId="20" w16cid:durableId="1217165507">
    <w:abstractNumId w:val="16"/>
  </w:num>
  <w:num w:numId="21" w16cid:durableId="1185361985">
    <w:abstractNumId w:val="0"/>
  </w:num>
  <w:num w:numId="22" w16cid:durableId="301932355">
    <w:abstractNumId w:val="25"/>
  </w:num>
  <w:num w:numId="23" w16cid:durableId="1066420419">
    <w:abstractNumId w:val="18"/>
  </w:num>
  <w:num w:numId="24" w16cid:durableId="821849140">
    <w:abstractNumId w:val="32"/>
  </w:num>
  <w:num w:numId="25" w16cid:durableId="2045711687">
    <w:abstractNumId w:val="21"/>
  </w:num>
  <w:num w:numId="26" w16cid:durableId="1615594893">
    <w:abstractNumId w:val="13"/>
  </w:num>
  <w:num w:numId="27" w16cid:durableId="1427195061">
    <w:abstractNumId w:val="10"/>
  </w:num>
  <w:num w:numId="28" w16cid:durableId="59250753">
    <w:abstractNumId w:val="22"/>
  </w:num>
  <w:num w:numId="29" w16cid:durableId="1374840513">
    <w:abstractNumId w:val="6"/>
  </w:num>
  <w:num w:numId="30" w16cid:durableId="16546756">
    <w:abstractNumId w:val="20"/>
  </w:num>
  <w:num w:numId="31" w16cid:durableId="1384913307">
    <w:abstractNumId w:val="30"/>
  </w:num>
  <w:num w:numId="32" w16cid:durableId="540365451">
    <w:abstractNumId w:val="23"/>
  </w:num>
  <w:num w:numId="33" w16cid:durableId="326248036">
    <w:abstractNumId w:val="29"/>
  </w:num>
  <w:num w:numId="34" w16cid:durableId="879245438">
    <w:abstractNumId w:val="8"/>
  </w:num>
  <w:num w:numId="35" w16cid:durableId="495807668">
    <w:abstractNumId w:val="36"/>
  </w:num>
  <w:num w:numId="36" w16cid:durableId="1135827476">
    <w:abstractNumId w:val="14"/>
  </w:num>
  <w:num w:numId="37" w16cid:durableId="6011111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315B7B"/>
    <w:rsid w:val="003227AA"/>
    <w:rsid w:val="004D0D9F"/>
    <w:rsid w:val="009A0DF3"/>
    <w:rsid w:val="009F728E"/>
    <w:rsid w:val="00DC37C0"/>
    <w:rsid w:val="00F06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CEB4"/>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4325</Words>
  <Characters>2466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2023-08-18T10:00:00Z</dcterms:created>
  <dcterms:modified xsi:type="dcterms:W3CDTF">2023-08-18T10:00:00Z</dcterms:modified>
</cp:coreProperties>
</file>