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F2E3" w14:textId="77777777" w:rsidR="009C1F37" w:rsidRDefault="009C1F37" w:rsidP="009C1F37">
      <w:pPr>
        <w:pStyle w:val="1"/>
        <w:spacing w:after="0"/>
        <w:jc w:val="center"/>
        <w:rPr>
          <w:sz w:val="24"/>
          <w:szCs w:val="24"/>
        </w:rPr>
      </w:pPr>
      <w:r>
        <w:rPr>
          <w:sz w:val="24"/>
          <w:szCs w:val="24"/>
        </w:rPr>
        <w:t>ХІМІОТЕРАПЕВТИЧНЕ ЛІКУВАННЯ ТА СУПРОВІД ПАЦІЄНТІВ З ОНКОЛОГІЧНИМИ ЗАХВОРЮВАННЯМИ У СТАЦІОНАРНИХ ТА АМБУЛАТОРНИХ УМОВАХ</w:t>
      </w:r>
    </w:p>
    <w:p w14:paraId="2CC78F5C" w14:textId="77777777" w:rsidR="009C1F37" w:rsidRDefault="009C1F37" w:rsidP="009C1F37">
      <w:pPr>
        <w:spacing w:after="0" w:line="240" w:lineRule="auto"/>
        <w:rPr>
          <w:rFonts w:ascii="Times New Roman" w:eastAsia="Times New Roman" w:hAnsi="Times New Roman" w:cs="Times New Roman"/>
          <w:sz w:val="24"/>
          <w:szCs w:val="24"/>
        </w:rPr>
      </w:pPr>
    </w:p>
    <w:p w14:paraId="7ED38C4B" w14:textId="77777777" w:rsidR="009C1F37" w:rsidRDefault="009C1F37" w:rsidP="009C1F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14BA0B37" w14:textId="77777777" w:rsidR="009C1F37" w:rsidRDefault="009C1F37" w:rsidP="009C1F37">
      <w:pPr>
        <w:spacing w:after="0" w:line="240" w:lineRule="auto"/>
        <w:rPr>
          <w:rFonts w:ascii="Times New Roman" w:eastAsia="Times New Roman" w:hAnsi="Times New Roman" w:cs="Times New Roman"/>
          <w:sz w:val="24"/>
          <w:szCs w:val="24"/>
        </w:rPr>
      </w:pPr>
    </w:p>
    <w:p w14:paraId="404CFB19" w14:textId="77777777" w:rsidR="009C1F37" w:rsidRDefault="009C1F37" w:rsidP="009C1F37">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Консультування, медична допомога пацієнту/пацієнтці з клінічно та морфологічно підтвердженим діагнозом злоякісного новоутворення. </w:t>
      </w:r>
    </w:p>
    <w:p w14:paraId="6449B7CF" w14:textId="77777777" w:rsidR="009C1F37" w:rsidRDefault="009C1F37" w:rsidP="009C1F37">
      <w:pPr>
        <w:numPr>
          <w:ilvl w:val="0"/>
          <w:numId w:val="2"/>
        </w:numP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лабораторних досліджень пацієнту/пацієнтці з клінічно та морфологічно підтвердженим діагнозом злоякісного новоутворення, зокрема: </w:t>
      </w:r>
    </w:p>
    <w:p w14:paraId="7B1D7635"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розгорнутий клінічний аналіз крові, включаючи диференційований підрахунок лейкоцитів (у цілодобовому режимі); </w:t>
      </w:r>
    </w:p>
    <w:p w14:paraId="344CD2AE"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цитоморфологічне</w:t>
      </w:r>
      <w:proofErr w:type="spellEnd"/>
      <w:r>
        <w:rPr>
          <w:rFonts w:ascii="Times New Roman" w:eastAsia="Times New Roman" w:hAnsi="Times New Roman" w:cs="Times New Roman"/>
          <w:color w:val="000000"/>
          <w:sz w:val="24"/>
          <w:szCs w:val="24"/>
        </w:rPr>
        <w:t xml:space="preserve"> дослідження клітин крові; </w:t>
      </w:r>
    </w:p>
    <w:p w14:paraId="023B27C5"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групи крові і резус-фактора (в цілодобовому режимі); </w:t>
      </w:r>
    </w:p>
    <w:p w14:paraId="327159C7"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xml:space="preserve">), лактатдегідрогеназа, білірубін і його фракції (загальний, прямий, непрямий), креатинін, сечовина, сечова кислота, хлориди, калій, натрій, кальцій, лужна фосфатаза, С-реактивний білок (CРБ, кількісне визначення), </w:t>
      </w:r>
      <w:proofErr w:type="spellStart"/>
      <w:r>
        <w:rPr>
          <w:rFonts w:ascii="Times New Roman" w:eastAsia="Times New Roman" w:hAnsi="Times New Roman" w:cs="Times New Roman"/>
          <w:color w:val="000000"/>
          <w:sz w:val="24"/>
          <w:szCs w:val="24"/>
        </w:rPr>
        <w:t>прокальцитонін</w:t>
      </w:r>
      <w:proofErr w:type="spellEnd"/>
      <w:r>
        <w:rPr>
          <w:rFonts w:ascii="Times New Roman" w:eastAsia="Times New Roman" w:hAnsi="Times New Roman" w:cs="Times New Roman"/>
          <w:color w:val="000000"/>
          <w:sz w:val="24"/>
          <w:szCs w:val="24"/>
        </w:rPr>
        <w:t>, альбумін в сироватці крові) (в цілодобовому режимі); </w:t>
      </w:r>
    </w:p>
    <w:p w14:paraId="418DFD63"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гемостаз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активований частковий (парціальний)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АПТЧ), міжнародне нормалізоване відношення (МНВ), фібриноген) (в цілодобовому режимі); </w:t>
      </w:r>
    </w:p>
    <w:p w14:paraId="7F3EA47D"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w:t>
      </w:r>
      <w:proofErr w:type="spellStart"/>
      <w:r>
        <w:rPr>
          <w:rFonts w:ascii="Times New Roman" w:eastAsia="Times New Roman" w:hAnsi="Times New Roman" w:cs="Times New Roman"/>
          <w:color w:val="000000"/>
          <w:sz w:val="24"/>
          <w:szCs w:val="24"/>
        </w:rPr>
        <w:t>метотрексату</w:t>
      </w:r>
      <w:proofErr w:type="spellEnd"/>
      <w:r>
        <w:rPr>
          <w:rFonts w:ascii="Times New Roman" w:eastAsia="Times New Roman" w:hAnsi="Times New Roman" w:cs="Times New Roman"/>
          <w:color w:val="000000"/>
          <w:sz w:val="24"/>
          <w:szCs w:val="24"/>
        </w:rPr>
        <w:t xml:space="preserve"> в сироватці крові  (у випадку лікування дітей); </w:t>
      </w:r>
    </w:p>
    <w:p w14:paraId="21395456"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 (в цілодобовому режимі); </w:t>
      </w:r>
    </w:p>
    <w:p w14:paraId="2F6523B6"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тести на </w:t>
      </w:r>
      <w:proofErr w:type="spellStart"/>
      <w:r>
        <w:rPr>
          <w:rFonts w:ascii="Times New Roman" w:eastAsia="Times New Roman" w:hAnsi="Times New Roman" w:cs="Times New Roman"/>
          <w:color w:val="000000"/>
          <w:sz w:val="24"/>
          <w:szCs w:val="24"/>
        </w:rPr>
        <w:t>тропонін</w:t>
      </w:r>
      <w:proofErr w:type="spellEnd"/>
      <w:r>
        <w:rPr>
          <w:rFonts w:ascii="Times New Roman" w:eastAsia="Times New Roman" w:hAnsi="Times New Roman" w:cs="Times New Roman"/>
          <w:color w:val="000000"/>
          <w:sz w:val="24"/>
          <w:szCs w:val="24"/>
        </w:rPr>
        <w:t xml:space="preserve"> (в цілодобовому режимі); </w:t>
      </w:r>
    </w:p>
    <w:p w14:paraId="5617C6FF"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спинномозкової рідини; </w:t>
      </w:r>
    </w:p>
    <w:p w14:paraId="693A0238"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 </w:t>
      </w:r>
    </w:p>
    <w:p w14:paraId="71741986"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на онкологічні маркери; </w:t>
      </w:r>
    </w:p>
    <w:p w14:paraId="0E041B33"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патоморфологічні</w:t>
      </w:r>
      <w:proofErr w:type="spellEnd"/>
      <w:r>
        <w:rPr>
          <w:rFonts w:ascii="Times New Roman" w:eastAsia="Times New Roman" w:hAnsi="Times New Roman" w:cs="Times New Roman"/>
          <w:color w:val="000000"/>
          <w:sz w:val="24"/>
          <w:szCs w:val="24"/>
        </w:rPr>
        <w:t xml:space="preserve"> дослідження (гістологічне/цитологічне, </w:t>
      </w:r>
      <w:proofErr w:type="spellStart"/>
      <w:r>
        <w:rPr>
          <w:rFonts w:ascii="Times New Roman" w:eastAsia="Times New Roman" w:hAnsi="Times New Roman" w:cs="Times New Roman"/>
          <w:color w:val="000000"/>
          <w:sz w:val="24"/>
          <w:szCs w:val="24"/>
        </w:rPr>
        <w:t>імуногістохімічне</w:t>
      </w:r>
      <w:proofErr w:type="spellEnd"/>
      <w:r>
        <w:rPr>
          <w:rFonts w:ascii="Times New Roman" w:eastAsia="Times New Roman" w:hAnsi="Times New Roman" w:cs="Times New Roman"/>
          <w:color w:val="000000"/>
          <w:sz w:val="24"/>
          <w:szCs w:val="24"/>
        </w:rPr>
        <w:t xml:space="preserve"> дослідження </w:t>
      </w:r>
      <w:proofErr w:type="spellStart"/>
      <w:r>
        <w:rPr>
          <w:rFonts w:ascii="Times New Roman" w:eastAsia="Times New Roman" w:hAnsi="Times New Roman" w:cs="Times New Roman"/>
          <w:color w:val="000000"/>
          <w:sz w:val="24"/>
          <w:szCs w:val="24"/>
        </w:rPr>
        <w:t>біоптатів</w:t>
      </w:r>
      <w:proofErr w:type="spellEnd"/>
      <w:r>
        <w:rPr>
          <w:rFonts w:ascii="Times New Roman" w:eastAsia="Times New Roman" w:hAnsi="Times New Roman" w:cs="Times New Roman"/>
          <w:color w:val="000000"/>
          <w:sz w:val="24"/>
          <w:szCs w:val="24"/>
        </w:rPr>
        <w:t xml:space="preserve"> пухлини та </w:t>
      </w:r>
      <w:proofErr w:type="spellStart"/>
      <w:r>
        <w:rPr>
          <w:rFonts w:ascii="Times New Roman" w:eastAsia="Times New Roman" w:hAnsi="Times New Roman" w:cs="Times New Roman"/>
          <w:color w:val="000000"/>
          <w:sz w:val="24"/>
          <w:szCs w:val="24"/>
        </w:rPr>
        <w:t>трепанбіоптатів</w:t>
      </w:r>
      <w:proofErr w:type="spellEnd"/>
      <w:r>
        <w:rPr>
          <w:rFonts w:ascii="Times New Roman" w:eastAsia="Times New Roman" w:hAnsi="Times New Roman" w:cs="Times New Roman"/>
          <w:color w:val="000000"/>
          <w:sz w:val="24"/>
          <w:szCs w:val="24"/>
        </w:rPr>
        <w:t xml:space="preserve"> кісткового мозку); </w:t>
      </w:r>
    </w:p>
    <w:p w14:paraId="4E942E32"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молекулярно-генетичні, крім методів </w:t>
      </w:r>
      <w:proofErr w:type="spellStart"/>
      <w:r>
        <w:rPr>
          <w:rFonts w:ascii="Times New Roman" w:eastAsia="Times New Roman" w:hAnsi="Times New Roman" w:cs="Times New Roman"/>
          <w:color w:val="000000"/>
          <w:sz w:val="24"/>
          <w:szCs w:val="24"/>
        </w:rPr>
        <w:t>секвенування</w:t>
      </w:r>
      <w:proofErr w:type="spellEnd"/>
      <w:r>
        <w:rPr>
          <w:rFonts w:ascii="Times New Roman" w:eastAsia="Times New Roman" w:hAnsi="Times New Roman" w:cs="Times New Roman"/>
          <w:color w:val="000000"/>
          <w:sz w:val="24"/>
          <w:szCs w:val="24"/>
        </w:rPr>
        <w:t xml:space="preserve"> наступного покоління; </w:t>
      </w:r>
    </w:p>
    <w:p w14:paraId="25BD169F"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бактеріологічні дослідження; </w:t>
      </w:r>
    </w:p>
    <w:p w14:paraId="62199F29" w14:textId="77777777" w:rsidR="009C1F37" w:rsidRDefault="009C1F37" w:rsidP="009C1F3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 </w:t>
      </w:r>
    </w:p>
    <w:p w14:paraId="0BFBDA17" w14:textId="77777777" w:rsidR="009C1F37" w:rsidRDefault="009C1F37" w:rsidP="009C1F3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цитологічного дослідження матеріалу, отриманого під час опортуністичного скринінгу, у пацієнта/пацієнтки з підозрою на рецидив новоутворення. </w:t>
      </w:r>
    </w:p>
    <w:p w14:paraId="57EA50F0" w14:textId="77777777" w:rsidR="009C1F37" w:rsidRDefault="009C1F37" w:rsidP="009C1F3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інструментальних досліджень пацієнту/пацієнтці з клінічно та морфологічно підтвердженим діагнозом злоякісного новоутворення, зокрема: </w:t>
      </w:r>
    </w:p>
    <w:p w14:paraId="532FE3F3" w14:textId="77777777" w:rsidR="009C1F37" w:rsidRDefault="009C1F37" w:rsidP="009C1F3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магнітно-резонансна томографія (в тому числі з внутрішньовенним контрастуванням); </w:t>
      </w:r>
    </w:p>
    <w:p w14:paraId="6F48B62B" w14:textId="77777777" w:rsidR="009C1F37" w:rsidRDefault="009C1F37" w:rsidP="009C1F3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рентгенологічні дослідження, комп’ютерна томографія (в тому числі з внутрішньовенним контрастуванням); </w:t>
      </w:r>
    </w:p>
    <w:p w14:paraId="5381881B" w14:textId="77777777" w:rsidR="009C1F37" w:rsidRDefault="009C1F37" w:rsidP="009C1F3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ендоскопічні дослідження; </w:t>
      </w:r>
    </w:p>
    <w:p w14:paraId="2B4F50A5" w14:textId="77777777" w:rsidR="009C1F37" w:rsidRDefault="009C1F37" w:rsidP="009C1F3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ультразвукові дослідження, в тому числі із проведенням </w:t>
      </w:r>
      <w:proofErr w:type="spellStart"/>
      <w:r>
        <w:rPr>
          <w:rFonts w:ascii="Times New Roman" w:eastAsia="Times New Roman" w:hAnsi="Times New Roman" w:cs="Times New Roman"/>
          <w:color w:val="000000"/>
          <w:sz w:val="24"/>
          <w:szCs w:val="24"/>
        </w:rPr>
        <w:t>доплерографії</w:t>
      </w:r>
      <w:proofErr w:type="spellEnd"/>
      <w:r>
        <w:rPr>
          <w:rFonts w:ascii="Times New Roman" w:eastAsia="Times New Roman" w:hAnsi="Times New Roman" w:cs="Times New Roman"/>
          <w:color w:val="000000"/>
          <w:sz w:val="24"/>
          <w:szCs w:val="24"/>
        </w:rPr>
        <w:t>; </w:t>
      </w:r>
    </w:p>
    <w:p w14:paraId="1CD5A5CE" w14:textId="77777777" w:rsidR="009C1F37" w:rsidRDefault="009C1F37" w:rsidP="009C1F3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сцинтиграфія</w:t>
      </w:r>
      <w:proofErr w:type="spellEnd"/>
      <w:r>
        <w:rPr>
          <w:rFonts w:ascii="Times New Roman" w:eastAsia="Times New Roman" w:hAnsi="Times New Roman" w:cs="Times New Roman"/>
          <w:color w:val="000000"/>
          <w:sz w:val="24"/>
          <w:szCs w:val="24"/>
        </w:rPr>
        <w:t xml:space="preserve"> (в тому числі з внутрішньовенним контрастуванням); </w:t>
      </w:r>
    </w:p>
    <w:p w14:paraId="4B469DD6" w14:textId="77777777" w:rsidR="009C1F37" w:rsidRDefault="009C1F37" w:rsidP="009C1F3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 </w:t>
      </w:r>
    </w:p>
    <w:p w14:paraId="6F21F7F3"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Цілодобовий моніторинг вітальних функцій (ЧСС, АТ, SpO2, ЕКГ). </w:t>
      </w:r>
    </w:p>
    <w:p w14:paraId="053223FC"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Цілодобове лікарське спостереження та </w:t>
      </w:r>
      <w:proofErr w:type="spellStart"/>
      <w:r>
        <w:rPr>
          <w:rFonts w:ascii="Times New Roman" w:eastAsia="Times New Roman" w:hAnsi="Times New Roman" w:cs="Times New Roman"/>
          <w:color w:val="000000"/>
          <w:sz w:val="24"/>
          <w:szCs w:val="24"/>
        </w:rPr>
        <w:t>медсестринський</w:t>
      </w:r>
      <w:proofErr w:type="spellEnd"/>
      <w:r>
        <w:rPr>
          <w:rFonts w:ascii="Times New Roman" w:eastAsia="Times New Roman" w:hAnsi="Times New Roman" w:cs="Times New Roman"/>
          <w:color w:val="000000"/>
          <w:sz w:val="24"/>
          <w:szCs w:val="24"/>
        </w:rPr>
        <w:t xml:space="preserve"> догляд за пацієнтом/пацієнткою в стаціонарних умовах </w:t>
      </w:r>
    </w:p>
    <w:p w14:paraId="6F9B3404"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кисневої підтримки пацієнту/пацієнтці.  </w:t>
      </w:r>
    </w:p>
    <w:p w14:paraId="30276382"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в умовах палати та\або відділення інтенсивної терапії. </w:t>
      </w:r>
    </w:p>
    <w:p w14:paraId="722134FC"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Pr>
          <w:rFonts w:ascii="Times New Roman" w:eastAsia="Times New Roman" w:hAnsi="Times New Roman" w:cs="Times New Roman"/>
          <w:color w:val="000000"/>
          <w:sz w:val="24"/>
          <w:szCs w:val="24"/>
        </w:rPr>
        <w:t>інвазивних</w:t>
      </w:r>
      <w:proofErr w:type="spellEnd"/>
      <w:r>
        <w:rPr>
          <w:rFonts w:ascii="Times New Roman" w:eastAsia="Times New Roman" w:hAnsi="Times New Roman" w:cs="Times New Roman"/>
          <w:color w:val="000000"/>
          <w:sz w:val="24"/>
          <w:szCs w:val="24"/>
        </w:rPr>
        <w:t xml:space="preserve"> діагностичних та </w:t>
      </w:r>
      <w:r>
        <w:rPr>
          <w:rFonts w:ascii="Times New Roman" w:eastAsia="Times New Roman" w:hAnsi="Times New Roman" w:cs="Times New Roman"/>
          <w:color w:val="000000"/>
          <w:sz w:val="24"/>
          <w:szCs w:val="24"/>
        </w:rPr>
        <w:lastRenderedPageBreak/>
        <w:t>інших лікувальних процедур, які цього вимагають, цілодобовий доступ до ненаркотичних та наркотичних знеболювальних засобів.</w:t>
      </w:r>
    </w:p>
    <w:p w14:paraId="7EFAA1AD"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консультацій лікарями інших спеціальностей пацієнту/пацієнтці з підтвердженим онкологічним діагнозом. </w:t>
      </w:r>
    </w:p>
    <w:p w14:paraId="70196D0B"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психоемоційного стану пацієнта/пацієнтки та надання психологічної допомоги. </w:t>
      </w:r>
    </w:p>
    <w:p w14:paraId="1A79414D"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за іншими напрямами в інші ЗОЗ або виклик спеціалістів з цих закладів  для надання такого виду допомоги  пацієнту/пацієнтці у разі неможливості їх транспортування.</w:t>
      </w:r>
    </w:p>
    <w:p w14:paraId="38CAD5A7"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з реабілітації під час отримання лікування та направлення пацієнта/пацієнтки для отримання послуг з реабілітації або послуг з паліативної медичної допомоги (за потреби). </w:t>
      </w:r>
    </w:p>
    <w:p w14:paraId="587347BA"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супровідної медикаментозної терапії. </w:t>
      </w:r>
    </w:p>
    <w:p w14:paraId="59937F2A"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компонентами та препаратами крові у цілодобовому режимі.</w:t>
      </w:r>
    </w:p>
    <w:p w14:paraId="0A824ADF"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лікарськими засобами,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 </w:t>
      </w:r>
    </w:p>
    <w:p w14:paraId="437F13F8"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Інформування пацієнта/пацієнтки про можливе порушення репродуктивної функції перед початком хіміотерапевтичного лікування та направлення його/її (за бажанням) на консультацію </w:t>
      </w:r>
      <w:proofErr w:type="spellStart"/>
      <w:r>
        <w:rPr>
          <w:rFonts w:ascii="Times New Roman" w:eastAsia="Times New Roman" w:hAnsi="Times New Roman" w:cs="Times New Roman"/>
          <w:color w:val="000000"/>
          <w:sz w:val="24"/>
          <w:szCs w:val="24"/>
        </w:rPr>
        <w:t>репродуктолога</w:t>
      </w:r>
      <w:proofErr w:type="spellEnd"/>
      <w:r>
        <w:rPr>
          <w:rFonts w:ascii="Times New Roman" w:eastAsia="Times New Roman" w:hAnsi="Times New Roman" w:cs="Times New Roman"/>
          <w:color w:val="000000"/>
          <w:sz w:val="24"/>
          <w:szCs w:val="24"/>
        </w:rPr>
        <w:t xml:space="preserve"> у відповідний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7D2DEB74"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харчуванням в умовах стаціонару.</w:t>
      </w:r>
    </w:p>
    <w:p w14:paraId="65AEC397" w14:textId="77777777" w:rsidR="009C1F37" w:rsidRDefault="009C1F37" w:rsidP="009C1F3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Обов’язкова видача пацієнту/пацієнтці форми первинної облікової документації № 027/о “Виписка із медичної карти амбулаторного (стаціонарного) хворого”, відповідно до вимог законодавства.</w:t>
      </w:r>
    </w:p>
    <w:p w14:paraId="7C925AD5" w14:textId="77777777" w:rsidR="009C1F37" w:rsidRDefault="009C1F37" w:rsidP="009C1F37">
      <w:pPr>
        <w:spacing w:after="0" w:line="240" w:lineRule="auto"/>
        <w:rPr>
          <w:rFonts w:ascii="Times New Roman" w:eastAsia="Times New Roman" w:hAnsi="Times New Roman" w:cs="Times New Roman"/>
          <w:sz w:val="24"/>
          <w:szCs w:val="24"/>
        </w:rPr>
      </w:pPr>
    </w:p>
    <w:p w14:paraId="15B39B90" w14:textId="77777777" w:rsidR="009C1F37" w:rsidRDefault="009C1F37" w:rsidP="009C1F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ХІМІОТЕРАПЕВТИЧНЕ ЛІКУВАННЯ ТА СУПРОВІД ПАЦІЄНТІВ З ОНКОЛОГІЧНИМИ ЗАХВОРЮВАННЯМИ У СТАЦІОНАРНИХ ТА АМБУЛАТОРНИХ УМОВАХ</w:t>
      </w:r>
    </w:p>
    <w:p w14:paraId="2663924B" w14:textId="77777777" w:rsidR="009C1F37" w:rsidRDefault="009C1F37" w:rsidP="009C1F37">
      <w:pPr>
        <w:spacing w:after="0" w:line="240" w:lineRule="auto"/>
        <w:rPr>
          <w:rFonts w:ascii="Times New Roman" w:eastAsia="Times New Roman" w:hAnsi="Times New Roman" w:cs="Times New Roman"/>
          <w:sz w:val="24"/>
          <w:szCs w:val="24"/>
        </w:rPr>
      </w:pPr>
    </w:p>
    <w:p w14:paraId="54F01CD0" w14:textId="77777777" w:rsidR="009C1F37" w:rsidRDefault="009C1F37" w:rsidP="009C1F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закупівлі медичних послуг</w:t>
      </w:r>
    </w:p>
    <w:p w14:paraId="1A8E420A" w14:textId="77777777" w:rsidR="009C1F37" w:rsidRDefault="009C1F37" w:rsidP="009C1F37">
      <w:pPr>
        <w:spacing w:after="0" w:line="240" w:lineRule="auto"/>
        <w:rPr>
          <w:rFonts w:ascii="Times New Roman" w:eastAsia="Times New Roman" w:hAnsi="Times New Roman" w:cs="Times New Roman"/>
          <w:sz w:val="24"/>
          <w:szCs w:val="24"/>
        </w:rPr>
      </w:pPr>
    </w:p>
    <w:p w14:paraId="5E883161"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амбулаторно та/або стаціонарно. </w:t>
      </w:r>
    </w:p>
    <w:p w14:paraId="29DB3579"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 </w:t>
      </w:r>
    </w:p>
    <w:p w14:paraId="599F37A0" w14:textId="77777777" w:rsidR="009C1F37" w:rsidRDefault="009C1F37" w:rsidP="009C1F37">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 видане пацієнтам з клінічно та морфологічно встановленим діагнозом злоякісного новоутворення; </w:t>
      </w:r>
    </w:p>
    <w:p w14:paraId="4C25D8B4" w14:textId="77777777" w:rsidR="009C1F37" w:rsidRDefault="009C1F37" w:rsidP="009C1F37">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переведення з іншого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та/або клінічного підрозділу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62F75A97" w14:textId="77777777" w:rsidR="009C1F37" w:rsidRDefault="009C1F37" w:rsidP="009C1F37">
      <w:pPr>
        <w:spacing w:after="0" w:line="240" w:lineRule="auto"/>
        <w:rPr>
          <w:rFonts w:ascii="Times New Roman" w:eastAsia="Times New Roman" w:hAnsi="Times New Roman" w:cs="Times New Roman"/>
          <w:sz w:val="24"/>
          <w:szCs w:val="24"/>
        </w:rPr>
      </w:pPr>
    </w:p>
    <w:p w14:paraId="465B2D98"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w:t>
      </w:r>
    </w:p>
    <w:p w14:paraId="32F0F8C9"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лабораторії та забезпечення проведення клінічних, біохімічних та інших лабораторних досліджень у ЗОЗ, визначених у специфікаціях.</w:t>
      </w:r>
    </w:p>
    <w:p w14:paraId="61850551"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w:t>
      </w:r>
      <w:proofErr w:type="spellStart"/>
      <w:r>
        <w:rPr>
          <w:rFonts w:ascii="Times New Roman" w:eastAsia="Times New Roman" w:hAnsi="Times New Roman" w:cs="Times New Roman"/>
          <w:color w:val="000000"/>
          <w:sz w:val="24"/>
          <w:szCs w:val="24"/>
        </w:rPr>
        <w:t>патоморфологічних</w:t>
      </w:r>
      <w:proofErr w:type="spellEnd"/>
      <w:r>
        <w:rPr>
          <w:rFonts w:ascii="Times New Roman" w:eastAsia="Times New Roman" w:hAnsi="Times New Roman" w:cs="Times New Roman"/>
          <w:color w:val="000000"/>
          <w:sz w:val="24"/>
          <w:szCs w:val="24"/>
        </w:rPr>
        <w:t xml:space="preserve"> досліджень (гістологічних/ цитологічних, </w:t>
      </w:r>
      <w:proofErr w:type="spellStart"/>
      <w:r>
        <w:rPr>
          <w:rFonts w:ascii="Times New Roman" w:eastAsia="Times New Roman" w:hAnsi="Times New Roman" w:cs="Times New Roman"/>
          <w:color w:val="000000"/>
          <w:sz w:val="24"/>
          <w:szCs w:val="24"/>
        </w:rPr>
        <w:t>імуногістохімічних</w:t>
      </w:r>
      <w:proofErr w:type="spellEnd"/>
      <w:r>
        <w:rPr>
          <w:rFonts w:ascii="Times New Roman" w:eastAsia="Times New Roman" w:hAnsi="Times New Roman" w:cs="Times New Roman"/>
          <w:color w:val="000000"/>
          <w:sz w:val="24"/>
          <w:szCs w:val="24"/>
        </w:rPr>
        <w:t xml:space="preserve">), молекулярно-генетичних, бактеріологічних досліджень, досліджень на онкологічні маркери в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4729ED83"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інструментальних методів дослідження (магнітно-резонансна томографія, комп’ютерна томографія, ендоскопічні дослідження, </w:t>
      </w:r>
      <w:proofErr w:type="spellStart"/>
      <w:r>
        <w:rPr>
          <w:rFonts w:ascii="Times New Roman" w:eastAsia="Times New Roman" w:hAnsi="Times New Roman" w:cs="Times New Roman"/>
          <w:color w:val="000000"/>
          <w:sz w:val="24"/>
          <w:szCs w:val="24"/>
        </w:rPr>
        <w:t>сцинтиграфія</w:t>
      </w:r>
      <w:proofErr w:type="spellEnd"/>
      <w:r>
        <w:rPr>
          <w:rFonts w:ascii="Times New Roman" w:eastAsia="Times New Roman" w:hAnsi="Times New Roman" w:cs="Times New Roman"/>
          <w:color w:val="000000"/>
          <w:sz w:val="24"/>
          <w:szCs w:val="24"/>
        </w:rPr>
        <w:t xml:space="preserve">, інші обстеження відповідно до галузевих стандартів у сфері охорони здоров’я)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w:t>
      </w:r>
    </w:p>
    <w:p w14:paraId="2E898273" w14:textId="77777777" w:rsidR="009C1F37" w:rsidRP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sidRPr="009C1F37">
        <w:rPr>
          <w:rFonts w:ascii="Times New Roman" w:eastAsia="Times New Roman" w:hAnsi="Times New Roman" w:cs="Times New Roman"/>
          <w:color w:val="000000"/>
          <w:sz w:val="24"/>
          <w:szCs w:val="24"/>
        </w:rPr>
        <w:t xml:space="preserve">Забезпечення проведення рентгенологічного дослідження </w:t>
      </w:r>
      <w:r w:rsidRPr="009C1F37">
        <w:rPr>
          <w:rFonts w:ascii="Times New Roman" w:eastAsia="Times New Roman" w:hAnsi="Times New Roman" w:cs="Times New Roman"/>
          <w:color w:val="000000"/>
          <w:sz w:val="24"/>
          <w:szCs w:val="24"/>
          <w:highlight w:val="white"/>
        </w:rPr>
        <w:t xml:space="preserve">в цілодобовому режимі </w:t>
      </w:r>
      <w:r w:rsidRPr="009C1F37">
        <w:rPr>
          <w:rFonts w:ascii="Times New Roman" w:eastAsia="Times New Roman" w:hAnsi="Times New Roman" w:cs="Times New Roman"/>
          <w:color w:val="000000"/>
          <w:sz w:val="24"/>
          <w:szCs w:val="24"/>
        </w:rPr>
        <w:t>в ЗОЗ.</w:t>
      </w:r>
    </w:p>
    <w:p w14:paraId="6C5E30AB"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проведення УЗД в цілодобовому режимі за місцем надання медичних послуг</w:t>
      </w:r>
      <w:r>
        <w:rPr>
          <w:rFonts w:ascii="Times New Roman" w:eastAsia="Times New Roman" w:hAnsi="Times New Roman" w:cs="Times New Roman"/>
          <w:color w:val="000000"/>
          <w:sz w:val="24"/>
          <w:szCs w:val="24"/>
        </w:rPr>
        <w:t>.</w:t>
      </w:r>
    </w:p>
    <w:p w14:paraId="747E077B"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лікарського та </w:t>
      </w:r>
      <w:proofErr w:type="spellStart"/>
      <w:r>
        <w:rPr>
          <w:rFonts w:ascii="Times New Roman" w:eastAsia="Times New Roman" w:hAnsi="Times New Roman" w:cs="Times New Roman"/>
          <w:color w:val="000000"/>
          <w:sz w:val="24"/>
          <w:szCs w:val="24"/>
        </w:rPr>
        <w:t>медсестринського</w:t>
      </w:r>
      <w:proofErr w:type="spellEnd"/>
      <w:r>
        <w:rPr>
          <w:rFonts w:ascii="Times New Roman" w:eastAsia="Times New Roman" w:hAnsi="Times New Roman" w:cs="Times New Roman"/>
          <w:color w:val="000000"/>
          <w:sz w:val="24"/>
          <w:szCs w:val="24"/>
        </w:rPr>
        <w:t xml:space="preserve"> догляду за пацієнтами.</w:t>
      </w:r>
    </w:p>
    <w:p w14:paraId="21F1E129"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Забезпечення цілодобового моніторингу вітальних функцій (ЧСС, АТ, SpO2, ЕКГ-моніторинг та ін.). </w:t>
      </w:r>
    </w:p>
    <w:p w14:paraId="5757B5E3"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 місцем надання медичних послуг відділення/палат інтенсивної терапії, обладнаних відповідно до табеля матеріально-технічного оснащення.</w:t>
      </w:r>
    </w:p>
    <w:p w14:paraId="5AE9B70E"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пацієнтів кисневою підтримкою.</w:t>
      </w:r>
    </w:p>
    <w:p w14:paraId="53207C03"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w:t>
      </w:r>
      <w:proofErr w:type="spellStart"/>
      <w:r>
        <w:rPr>
          <w:rFonts w:ascii="Times New Roman" w:eastAsia="Times New Roman" w:hAnsi="Times New Roman" w:cs="Times New Roman"/>
          <w:color w:val="000000"/>
          <w:sz w:val="24"/>
          <w:szCs w:val="24"/>
        </w:rPr>
        <w:t>мультидисциплінарного</w:t>
      </w:r>
      <w:proofErr w:type="spellEnd"/>
      <w:r>
        <w:rPr>
          <w:rFonts w:ascii="Times New Roman" w:eastAsia="Times New Roman" w:hAnsi="Times New Roman" w:cs="Times New Roman"/>
          <w:color w:val="000000"/>
          <w:sz w:val="24"/>
          <w:szCs w:val="24"/>
        </w:rPr>
        <w:t xml:space="preserve"> підходу при виборі ефективної тактики лікування злоякісного новоутворення. </w:t>
      </w:r>
    </w:p>
    <w:p w14:paraId="20425675"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затвердженого персонального складу постійно діючої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групи спеціалістів (консиліуму), до складу якого входять: щонайменше один лікар-онколог, лікар-</w:t>
      </w:r>
      <w:proofErr w:type="spellStart"/>
      <w:r>
        <w:rPr>
          <w:rFonts w:ascii="Times New Roman" w:eastAsia="Times New Roman" w:hAnsi="Times New Roman" w:cs="Times New Roman"/>
          <w:color w:val="000000"/>
          <w:sz w:val="24"/>
          <w:szCs w:val="24"/>
        </w:rPr>
        <w:t>хіруг</w:t>
      </w:r>
      <w:proofErr w:type="spellEnd"/>
      <w:r>
        <w:rPr>
          <w:rFonts w:ascii="Times New Roman" w:eastAsia="Times New Roman" w:hAnsi="Times New Roman" w:cs="Times New Roman"/>
          <w:color w:val="000000"/>
          <w:sz w:val="24"/>
          <w:szCs w:val="24"/>
        </w:rPr>
        <w:t>-онколог та/або лікар-нейрохірург, лікар з променевої терапії та/або лікар-радіолог, лікар-патологоанатом (за необхідності), та залучення до консультації лікаря-уролога або лікаря-гінеколога-онколога у разі потреби надання інформації пацієнтам про збереження їх репродуктивного здоров’я. Залучення інших спеціалістів до консиліуму залежно від потреб пацієнтів. У випадку лікування дітей залучення до складу групи спеціалістів (консиліуму) відповідних спеціалістів дитячого профілю.</w:t>
      </w:r>
    </w:p>
    <w:p w14:paraId="2BFB9867"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пацієнтів необхідною </w:t>
      </w:r>
      <w:proofErr w:type="spellStart"/>
      <w:r>
        <w:rPr>
          <w:rFonts w:ascii="Times New Roman" w:eastAsia="Times New Roman" w:hAnsi="Times New Roman" w:cs="Times New Roman"/>
          <w:color w:val="000000"/>
          <w:sz w:val="24"/>
          <w:szCs w:val="24"/>
        </w:rPr>
        <w:t>трансфузійною</w:t>
      </w:r>
      <w:proofErr w:type="spellEnd"/>
      <w:r>
        <w:rPr>
          <w:rFonts w:ascii="Times New Roman" w:eastAsia="Times New Roman" w:hAnsi="Times New Roman" w:cs="Times New Roman"/>
          <w:color w:val="000000"/>
          <w:sz w:val="24"/>
          <w:szCs w:val="24"/>
        </w:rPr>
        <w:t xml:space="preserve"> підтримкою у </w:t>
      </w:r>
      <w:r w:rsidRPr="009C1F37">
        <w:rPr>
          <w:rFonts w:ascii="Times New Roman" w:eastAsia="Times New Roman" w:hAnsi="Times New Roman" w:cs="Times New Roman"/>
          <w:color w:val="000000"/>
          <w:sz w:val="24"/>
          <w:szCs w:val="24"/>
        </w:rPr>
        <w:t>цілодобовому</w:t>
      </w:r>
      <w:r>
        <w:rPr>
          <w:rFonts w:ascii="Times New Roman" w:eastAsia="Times New Roman" w:hAnsi="Times New Roman" w:cs="Times New Roman"/>
          <w:color w:val="000000"/>
          <w:sz w:val="24"/>
          <w:szCs w:val="24"/>
        </w:rPr>
        <w:t xml:space="preserve"> режимі.</w:t>
      </w:r>
    </w:p>
    <w:p w14:paraId="6E126F59"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направлення пацієнтів для отримання спеціалізованої медичної допомоги за іншими напрямами в інші ЗОЗ або виклик спеціалістів (з числа працівників надавача або за договором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для надання такого виду допомоги пацієнтам у разі неможливості їх транспортування</w:t>
      </w:r>
      <w:r>
        <w:rPr>
          <w:rFonts w:ascii="Times New Roman" w:eastAsia="Times New Roman" w:hAnsi="Times New Roman" w:cs="Times New Roman"/>
          <w:b/>
          <w:color w:val="000000"/>
          <w:sz w:val="24"/>
          <w:szCs w:val="24"/>
        </w:rPr>
        <w:t>.</w:t>
      </w:r>
    </w:p>
    <w:p w14:paraId="5446918E"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надання пацієнтам послуг з  реабілітації в гострому періоді реабілітації (за відсутності протипоказань) в стаціонарних умовах та направлення пацієнтів для отримання реабілітаційної допомоги у </w:t>
      </w:r>
      <w:proofErr w:type="spellStart"/>
      <w:r>
        <w:rPr>
          <w:rFonts w:ascii="Times New Roman" w:eastAsia="Times New Roman" w:hAnsi="Times New Roman" w:cs="Times New Roman"/>
          <w:color w:val="000000"/>
          <w:sz w:val="24"/>
          <w:szCs w:val="24"/>
          <w:highlight w:val="white"/>
        </w:rPr>
        <w:t>післягострому</w:t>
      </w:r>
      <w:proofErr w:type="spellEnd"/>
      <w:r>
        <w:rPr>
          <w:rFonts w:ascii="Times New Roman" w:eastAsia="Times New Roman" w:hAnsi="Times New Roman" w:cs="Times New Roman"/>
          <w:color w:val="000000"/>
          <w:sz w:val="24"/>
          <w:szCs w:val="24"/>
          <w:highlight w:val="white"/>
        </w:rPr>
        <w:t xml:space="preserve"> та довготривалому періодах реабілітації.</w:t>
      </w:r>
    </w:p>
    <w:p w14:paraId="324AE7E7"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пацієнтів лікарськими засобами для проведення спеціального лікування та супровідної терапії,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 </w:t>
      </w:r>
    </w:p>
    <w:p w14:paraId="7EAF514C"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лікування, залучення до ухвалення рішень щодо їх здоров'я, узгодження з пацієнтами плану лікування відповідно до їх очікувань та можливостей. </w:t>
      </w:r>
    </w:p>
    <w:p w14:paraId="26CEBC48"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Обов’язкове інформування </w:t>
      </w:r>
      <w:r>
        <w:rPr>
          <w:rFonts w:ascii="Times New Roman" w:eastAsia="Times New Roman" w:hAnsi="Times New Roman" w:cs="Times New Roman"/>
          <w:color w:val="000000"/>
          <w:sz w:val="24"/>
          <w:szCs w:val="24"/>
          <w:highlight w:val="white"/>
        </w:rPr>
        <w:t>пацієнтів</w:t>
      </w:r>
      <w:r>
        <w:rPr>
          <w:rFonts w:ascii="Times New Roman" w:eastAsia="Times New Roman" w:hAnsi="Times New Roman" w:cs="Times New Roman"/>
          <w:color w:val="000000"/>
          <w:sz w:val="24"/>
          <w:szCs w:val="24"/>
        </w:rPr>
        <w:t xml:space="preserve"> щодо можливості отримання інших необхідних медичних послуг безоплатно за рахунок коштів програми медичних гарантій. </w:t>
      </w:r>
    </w:p>
    <w:p w14:paraId="6419F0BE"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обладнаного місця приготування розчинів </w:t>
      </w:r>
      <w:proofErr w:type="spellStart"/>
      <w:r>
        <w:rPr>
          <w:rFonts w:ascii="Times New Roman" w:eastAsia="Times New Roman" w:hAnsi="Times New Roman" w:cs="Times New Roman"/>
          <w:color w:val="000000"/>
          <w:sz w:val="24"/>
          <w:szCs w:val="24"/>
        </w:rPr>
        <w:t>хіміо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таргетних</w:t>
      </w:r>
      <w:proofErr w:type="spellEnd"/>
      <w:r>
        <w:rPr>
          <w:rFonts w:ascii="Times New Roman" w:eastAsia="Times New Roman" w:hAnsi="Times New Roman" w:cs="Times New Roman"/>
          <w:color w:val="000000"/>
          <w:sz w:val="24"/>
          <w:szCs w:val="24"/>
        </w:rPr>
        <w:t xml:space="preserve"> препаратів згідно зі стандартами щодо розмірів приміщення та наявності ламінарної камери з каналом вентиляції. </w:t>
      </w:r>
    </w:p>
    <w:p w14:paraId="52359A04"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протоколу утилізації </w:t>
      </w:r>
      <w:r>
        <w:rPr>
          <w:rFonts w:ascii="Times New Roman" w:eastAsia="Times New Roman" w:hAnsi="Times New Roman" w:cs="Times New Roman"/>
          <w:color w:val="323232"/>
          <w:sz w:val="24"/>
          <w:szCs w:val="24"/>
        </w:rPr>
        <w:t xml:space="preserve">та знищення </w:t>
      </w:r>
      <w:r>
        <w:rPr>
          <w:rFonts w:ascii="Times New Roman" w:eastAsia="Times New Roman" w:hAnsi="Times New Roman" w:cs="Times New Roman"/>
          <w:color w:val="000000"/>
          <w:sz w:val="24"/>
          <w:szCs w:val="24"/>
        </w:rPr>
        <w:t>залишків лікарських засобів. </w:t>
      </w:r>
    </w:p>
    <w:p w14:paraId="6D6261FE"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окремих сімейних палат, обладнаних відповідно до табеля оснащення профільного відділення, для сумісного перебування батьків або членів родини або інших законних представників разом з дитиною упродовж надання їй медичних послуг та/або реабілітаційних послуг у сфері охорони здоров'я. </w:t>
      </w:r>
    </w:p>
    <w:p w14:paraId="7256459B" w14:textId="77777777" w:rsidR="009C1F37" w:rsidRDefault="009C1F37" w:rsidP="009C1F37">
      <w:pPr>
        <w:numPr>
          <w:ilvl w:val="0"/>
          <w:numId w:val="4"/>
        </w:numP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72B940B8"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47F4C4F6"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w:t>
      </w:r>
      <w:r>
        <w:rPr>
          <w:rFonts w:ascii="Times New Roman" w:eastAsia="Times New Roman" w:hAnsi="Times New Roman" w:cs="Times New Roman"/>
          <w:color w:val="000000"/>
          <w:sz w:val="24"/>
          <w:szCs w:val="24"/>
        </w:rPr>
        <w:lastRenderedPageBreak/>
        <w:t>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1434DD6C"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Забезпечення права пацієнтів, які перебувають на лікуванні у відділенні інтенсивної терапії, на допуск до нього/неї відвідувачів 24 години на добу в будь-який день тижня згідно з правилами, визначеними чинними нормативно-правовими актами</w:t>
      </w:r>
      <w:r>
        <w:rPr>
          <w:rFonts w:ascii="Times New Roman" w:eastAsia="Times New Roman" w:hAnsi="Times New Roman" w:cs="Times New Roman"/>
          <w:b/>
          <w:color w:val="000000"/>
          <w:sz w:val="24"/>
          <w:szCs w:val="24"/>
        </w:rPr>
        <w:t>.</w:t>
      </w:r>
    </w:p>
    <w:p w14:paraId="4B1F39B9"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07F63E9C"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з НСЗУ. </w:t>
      </w:r>
    </w:p>
    <w:p w14:paraId="0CCC9654"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 </w:t>
      </w:r>
    </w:p>
    <w:p w14:paraId="1FAFDC13"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Обов’язкове інформування ЗОЗ усіх форм власності регіонального канцер-реєстру (за місцем реєстрації хворого) про пацієнтів відповідно до форм первинної облікової документації № 090/о «Повідомлення про хворого з уперше в житті встановленим діагнозом раку або іншого злоякісного новоутворення» та № 027/о «Виписка із медичної карти амбулаторного (стаціонарного) хворого» (після кожного етапу лікування).</w:t>
      </w:r>
      <w:r>
        <w:rPr>
          <w:rFonts w:ascii="Times New Roman" w:eastAsia="Times New Roman" w:hAnsi="Times New Roman" w:cs="Times New Roman"/>
          <w:b/>
          <w:color w:val="000000"/>
          <w:sz w:val="24"/>
          <w:szCs w:val="24"/>
        </w:rPr>
        <w:t> </w:t>
      </w:r>
    </w:p>
    <w:p w14:paraId="389A8A49"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1BB7F401" w14:textId="77777777" w:rsidR="009C1F37" w:rsidRDefault="009C1F37" w:rsidP="009C1F37">
      <w:pPr>
        <w:numPr>
          <w:ilvl w:val="0"/>
          <w:numId w:val="4"/>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7B1889E6" w14:textId="77777777" w:rsidR="009C1F37" w:rsidRDefault="009C1F37" w:rsidP="009C1F37">
      <w:pPr>
        <w:spacing w:after="0" w:line="240" w:lineRule="auto"/>
        <w:rPr>
          <w:rFonts w:ascii="Times New Roman" w:eastAsia="Times New Roman" w:hAnsi="Times New Roman" w:cs="Times New Roman"/>
          <w:sz w:val="24"/>
          <w:szCs w:val="24"/>
        </w:rPr>
      </w:pPr>
    </w:p>
    <w:p w14:paraId="776F3DF4"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01A8AE29"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За місцем надання медичних послуг: </w:t>
      </w:r>
    </w:p>
    <w:p w14:paraId="3F2DF964" w14:textId="77777777" w:rsidR="009C1F37" w:rsidRDefault="009C1F37" w:rsidP="009C1F3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Лікар-онколог – щонайменше 2 особи, які працюють за основним місцем роботи в цьому ЗОЗ. Для закладів, що надають медичну допомогу дітям: лікар-онколог дитячий та/або лікар гематолог-онколог дитячий, та/або лікар-гематолог дитячий – щонайменше 2 особи із зазначеного переліку, які працюють за основним місцем роботи в цьому закладі.</w:t>
      </w:r>
    </w:p>
    <w:p w14:paraId="61C54865" w14:textId="77777777" w:rsidR="009C1F37" w:rsidRDefault="009C1F37" w:rsidP="009C1F3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Сестра медична – щонайменше 4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пост). </w:t>
      </w:r>
    </w:p>
    <w:p w14:paraId="6877328A"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3FDACEE5"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Лікар-анестезіолог  та/або лікар-анестезіолог дитячий – щонайменше 4 особи, з них щонайменше 2 особи, які працюють за основним місцем роботи в цьому ЗОЗ (цілодобовий пост). У випадку лікування дітей у ЗОЗ для дорослих: лікар-анестезіолог дитячий – щонайменше 2 особи, які працюють за основним місцем роботи в цьому ЗОЗ.</w:t>
      </w:r>
      <w:r>
        <w:rPr>
          <w:rFonts w:ascii="Times New Roman" w:eastAsia="Times New Roman" w:hAnsi="Times New Roman" w:cs="Times New Roman"/>
          <w:color w:val="000000"/>
          <w:sz w:val="24"/>
          <w:szCs w:val="24"/>
        </w:rPr>
        <w:t> </w:t>
      </w:r>
    </w:p>
    <w:p w14:paraId="483FFD35"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Лікар-хірург-онколог та/або лікар-нейрохірург, та/або </w:t>
      </w:r>
      <w:r w:rsidRPr="009C1F37">
        <w:rPr>
          <w:rFonts w:ascii="Times New Roman" w:eastAsia="Times New Roman" w:hAnsi="Times New Roman" w:cs="Times New Roman"/>
          <w:color w:val="000000"/>
          <w:sz w:val="24"/>
          <w:szCs w:val="24"/>
        </w:rPr>
        <w:t>лікар-гінеколог-онколог – щонайменше одна особа із зазначеного переліку, яка працює за основним місцем роботи в цьому ЗОЗ або за сумісництвом. Для закладів, що надають медичну допомогу дітям: лікар-хірург дитячий та/або л</w:t>
      </w:r>
      <w:r>
        <w:rPr>
          <w:rFonts w:ascii="Times New Roman" w:eastAsia="Times New Roman" w:hAnsi="Times New Roman" w:cs="Times New Roman"/>
          <w:color w:val="000000"/>
          <w:sz w:val="24"/>
          <w:szCs w:val="24"/>
        </w:rPr>
        <w:t xml:space="preserve">ікар-нейрохірург дитячий – щонайменше одна </w:t>
      </w:r>
      <w:r>
        <w:rPr>
          <w:rFonts w:ascii="Times New Roman" w:eastAsia="Times New Roman" w:hAnsi="Times New Roman" w:cs="Times New Roman"/>
          <w:color w:val="000000"/>
          <w:sz w:val="24"/>
          <w:szCs w:val="24"/>
        </w:rPr>
        <w:lastRenderedPageBreak/>
        <w:t xml:space="preserve">особа із зазначеного переліку, яка працює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w:t>
      </w:r>
    </w:p>
    <w:p w14:paraId="59E1C82C"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 з променевої терапії та/або лікар-радіолог, та/або лікар з радіонуклідної діагностики, та/або лікар-рентгенолог – щонайменше одна особа, яка працює за основним місцем роботи в цьому закладі або за сумісництвом.</w:t>
      </w:r>
    </w:p>
    <w:p w14:paraId="45C92BBB"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Лікар-психолог та/або психолог, та/або лікар-психотерапевт – щонайменше 2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519F866A"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одна особа із зазначеного переліку, яка працює за основним місцем роботи у цьому ЗОЗ або за сумісництвом. </w:t>
      </w:r>
    </w:p>
    <w:p w14:paraId="6FF47668"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ультразвукової діагностики – щонайменше 2 особи,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106F7530"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Лікар-лаборант та/або біохімік – щонайменше 2 особи із зазначеного переліку, які працюють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1EEF5A3A"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за сумісництвом. </w:t>
      </w:r>
    </w:p>
    <w:p w14:paraId="5F6527DA" w14:textId="77777777" w:rsidR="009C1F37" w:rsidRDefault="009C1F37" w:rsidP="009C1F37">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46B6CCA8" w14:textId="77777777" w:rsidR="009C1F37" w:rsidRDefault="009C1F37" w:rsidP="009C1F37">
      <w:pPr>
        <w:spacing w:after="0" w:line="240" w:lineRule="auto"/>
        <w:rPr>
          <w:rFonts w:ascii="Times New Roman" w:eastAsia="Times New Roman" w:hAnsi="Times New Roman" w:cs="Times New Roman"/>
          <w:sz w:val="24"/>
          <w:szCs w:val="24"/>
        </w:rPr>
      </w:pPr>
    </w:p>
    <w:p w14:paraId="6DD62989"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 </w:t>
      </w:r>
    </w:p>
    <w:p w14:paraId="4C046B2C"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6090614E" w14:textId="77777777" w:rsidR="009C1F37" w:rsidRDefault="009C1F37" w:rsidP="009C1F37">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 </w:t>
      </w:r>
    </w:p>
    <w:p w14:paraId="1DF1E3E0" w14:textId="77777777" w:rsidR="009C1F37" w:rsidRDefault="009C1F37" w:rsidP="009C1F37">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 </w:t>
      </w:r>
    </w:p>
    <w:p w14:paraId="63BFC97C" w14:textId="77777777" w:rsidR="009C1F37" w:rsidRDefault="009C1F37" w:rsidP="009C1F37">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рентгенівської комп'ютерної томографії (в тому числі для проведення досліджень із внутрішньовенним контрастуванням) (у власності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4FA19454" w14:textId="77777777" w:rsidR="009C1F37" w:rsidRDefault="009C1F37" w:rsidP="009C1F37">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магнітно-резонансної томографії (в тому числі для проведення досліджень з внутрішньовенним контрастуванням) (у власності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04C44524" w14:textId="77777777" w:rsidR="009C1F37" w:rsidRDefault="009C1F37" w:rsidP="009C1F37">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ультразвукової візуалізації, </w:t>
      </w:r>
      <w:r>
        <w:rPr>
          <w:rFonts w:ascii="Times New Roman" w:eastAsia="Times New Roman" w:hAnsi="Times New Roman" w:cs="Times New Roman"/>
          <w:color w:val="323232"/>
          <w:sz w:val="24"/>
          <w:szCs w:val="24"/>
        </w:rPr>
        <w:t xml:space="preserve">зокрема на основі ефекту </w:t>
      </w:r>
      <w:proofErr w:type="spellStart"/>
      <w:r>
        <w:rPr>
          <w:rFonts w:ascii="Times New Roman" w:eastAsia="Times New Roman" w:hAnsi="Times New Roman" w:cs="Times New Roman"/>
          <w:color w:val="323232"/>
          <w:sz w:val="24"/>
          <w:szCs w:val="24"/>
        </w:rPr>
        <w:t>Доплера</w:t>
      </w:r>
      <w:proofErr w:type="spellEnd"/>
      <w:r>
        <w:rPr>
          <w:rFonts w:ascii="Times New Roman" w:eastAsia="Times New Roman" w:hAnsi="Times New Roman" w:cs="Times New Roman"/>
          <w:color w:val="000000"/>
          <w:sz w:val="24"/>
          <w:szCs w:val="24"/>
        </w:rPr>
        <w:t>; </w:t>
      </w:r>
    </w:p>
    <w:p w14:paraId="789D3BC2" w14:textId="77777777" w:rsidR="009C1F37" w:rsidRDefault="009C1F37" w:rsidP="009C1F37">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 </w:t>
      </w:r>
    </w:p>
    <w:p w14:paraId="430A7ED5" w14:textId="77777777" w:rsidR="009C1F37" w:rsidRDefault="009C1F37" w:rsidP="009C1F37">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 </w:t>
      </w:r>
    </w:p>
    <w:p w14:paraId="04B086E0"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відділенні інтенсивної терапії/ палаті інтенсивної терапії: </w:t>
      </w:r>
    </w:p>
    <w:p w14:paraId="0332FC85"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560E362F"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7A4187EF"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2; </w:t>
      </w:r>
    </w:p>
    <w:p w14:paraId="3F08CB05"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 </w:t>
      </w:r>
    </w:p>
    <w:p w14:paraId="4F614792"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w:t>
      </w:r>
    </w:p>
    <w:p w14:paraId="62039430"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 </w:t>
      </w:r>
    </w:p>
    <w:p w14:paraId="3E58E1B6"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та ін.) – щонайменше 2; </w:t>
      </w:r>
    </w:p>
    <w:p w14:paraId="72D7C8A6" w14:textId="77777777" w:rsidR="009C1F37" w:rsidRDefault="009C1F37" w:rsidP="009C1F37">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5.</w:t>
      </w:r>
    </w:p>
    <w:p w14:paraId="5B3977B9"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За місцем надання медичних послуг (профільне відділення): </w:t>
      </w:r>
    </w:p>
    <w:p w14:paraId="46B2D1F1"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552CED4E"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централізована та/або змішана та/або децентралізована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наявністю кисневих вихідних точок (розеток) у 20% ліжок відділення (місця надання послуги); </w:t>
      </w:r>
    </w:p>
    <w:p w14:paraId="3798B29C"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7808EC60"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2; </w:t>
      </w:r>
    </w:p>
    <w:p w14:paraId="096119B0"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w:t>
      </w:r>
    </w:p>
    <w:p w14:paraId="6D231D52"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насос </w:t>
      </w:r>
      <w:proofErr w:type="spellStart"/>
      <w:r>
        <w:rPr>
          <w:rFonts w:ascii="Times New Roman" w:eastAsia="Times New Roman" w:hAnsi="Times New Roman" w:cs="Times New Roman"/>
          <w:color w:val="000000"/>
          <w:sz w:val="24"/>
          <w:szCs w:val="24"/>
        </w:rPr>
        <w:t>інфузійний</w:t>
      </w:r>
      <w:proofErr w:type="spellEnd"/>
      <w:r>
        <w:rPr>
          <w:rFonts w:ascii="Times New Roman" w:eastAsia="Times New Roman" w:hAnsi="Times New Roman" w:cs="Times New Roman"/>
          <w:color w:val="000000"/>
          <w:sz w:val="24"/>
          <w:szCs w:val="24"/>
        </w:rPr>
        <w:t xml:space="preserve"> роликовий – щонайменше 5; </w:t>
      </w:r>
    </w:p>
    <w:p w14:paraId="7728CF51"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15; </w:t>
      </w:r>
    </w:p>
    <w:p w14:paraId="73A6526E"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w:t>
      </w:r>
    </w:p>
    <w:p w14:paraId="4EB5377A"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 </w:t>
      </w:r>
    </w:p>
    <w:p w14:paraId="191E245B"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 щонайменше 4; </w:t>
      </w:r>
    </w:p>
    <w:p w14:paraId="34657327" w14:textId="77777777" w:rsidR="009C1F37" w:rsidRDefault="009C1F37" w:rsidP="009C1F3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витяжна шафа для розведення </w:t>
      </w:r>
      <w:proofErr w:type="spellStart"/>
      <w:r>
        <w:rPr>
          <w:rFonts w:ascii="Times New Roman" w:eastAsia="Times New Roman" w:hAnsi="Times New Roman" w:cs="Times New Roman"/>
          <w:color w:val="000000"/>
          <w:sz w:val="24"/>
          <w:szCs w:val="24"/>
        </w:rPr>
        <w:t>цитостатичних</w:t>
      </w:r>
      <w:proofErr w:type="spellEnd"/>
      <w:r>
        <w:rPr>
          <w:rFonts w:ascii="Times New Roman" w:eastAsia="Times New Roman" w:hAnsi="Times New Roman" w:cs="Times New Roman"/>
          <w:color w:val="000000"/>
          <w:sz w:val="24"/>
          <w:szCs w:val="24"/>
        </w:rPr>
        <w:t xml:space="preserve"> препаратів та/або ламінарна камера</w:t>
      </w:r>
      <w:r>
        <w:rPr>
          <w:rFonts w:ascii="Times New Roman" w:eastAsia="Times New Roman" w:hAnsi="Times New Roman" w:cs="Times New Roman"/>
          <w:b/>
          <w:color w:val="000000"/>
          <w:sz w:val="24"/>
          <w:szCs w:val="24"/>
        </w:rPr>
        <w:t xml:space="preserve"> </w:t>
      </w:r>
      <w:r w:rsidRPr="009C1F37">
        <w:rPr>
          <w:rFonts w:ascii="Times New Roman" w:eastAsia="Times New Roman" w:hAnsi="Times New Roman" w:cs="Times New Roman"/>
          <w:color w:val="000000"/>
          <w:sz w:val="24"/>
          <w:szCs w:val="24"/>
        </w:rPr>
        <w:t>з каналом вентиляції із забезпеченням ефективного і безпечного видалення шкідливих випарів лікарських препаратів з виробничих приміщень. </w:t>
      </w:r>
    </w:p>
    <w:p w14:paraId="32FF6C92"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У лабораторії:</w:t>
      </w:r>
    </w:p>
    <w:p w14:paraId="0BF4E8DF" w14:textId="77777777" w:rsidR="009C1F37" w:rsidRDefault="009C1F37" w:rsidP="009C1F3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гематологічний аналізатор;</w:t>
      </w:r>
    </w:p>
    <w:p w14:paraId="4D965F98" w14:textId="77777777" w:rsidR="009C1F37" w:rsidRDefault="009C1F37" w:rsidP="009C1F3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біохімічний аналізатор</w:t>
      </w:r>
      <w:r>
        <w:rPr>
          <w:rFonts w:ascii="Times New Roman" w:eastAsia="Times New Roman" w:hAnsi="Times New Roman" w:cs="Times New Roman"/>
          <w:sz w:val="24"/>
          <w:szCs w:val="24"/>
        </w:rPr>
        <w:t>.</w:t>
      </w:r>
    </w:p>
    <w:p w14:paraId="1CDE26FC" w14:textId="77777777" w:rsidR="009C1F37" w:rsidRDefault="009C1F37" w:rsidP="009C1F37">
      <w:pPr>
        <w:spacing w:after="0" w:line="240" w:lineRule="auto"/>
        <w:rPr>
          <w:rFonts w:ascii="Times New Roman" w:eastAsia="Times New Roman" w:hAnsi="Times New Roman" w:cs="Times New Roman"/>
          <w:sz w:val="24"/>
          <w:szCs w:val="24"/>
        </w:rPr>
      </w:pPr>
    </w:p>
    <w:p w14:paraId="118A4015" w14:textId="77777777" w:rsidR="009C1F37" w:rsidRDefault="009C1F37" w:rsidP="009C1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 </w:t>
      </w:r>
    </w:p>
    <w:p w14:paraId="7FC91162" w14:textId="77777777" w:rsidR="009C1F37" w:rsidRDefault="009C1F37" w:rsidP="009C1F37">
      <w:pPr>
        <w:numPr>
          <w:ilvl w:val="0"/>
          <w:numId w:val="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ліцензії на провадження господарської діяльності з медичної практики за спеціальністю анестезіологія та/або дитяча анестезіологія, онкологія та/або дитяча онкологія, та/або </w:t>
      </w:r>
      <w:proofErr w:type="spellStart"/>
      <w:r>
        <w:rPr>
          <w:rFonts w:ascii="Times New Roman" w:eastAsia="Times New Roman" w:hAnsi="Times New Roman" w:cs="Times New Roman"/>
          <w:color w:val="000000"/>
          <w:sz w:val="24"/>
          <w:szCs w:val="24"/>
        </w:rPr>
        <w:t>онкогінекологія</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онкоотоларингологія</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онкохірургія</w:t>
      </w:r>
      <w:proofErr w:type="spellEnd"/>
      <w:r>
        <w:rPr>
          <w:rFonts w:ascii="Times New Roman" w:eastAsia="Times New Roman" w:hAnsi="Times New Roman" w:cs="Times New Roman"/>
          <w:color w:val="000000"/>
          <w:sz w:val="24"/>
          <w:szCs w:val="24"/>
        </w:rPr>
        <w:t>. </w:t>
      </w:r>
    </w:p>
    <w:p w14:paraId="5FACDFCD" w14:textId="77777777" w:rsidR="009C1F37" w:rsidRDefault="009C1F37" w:rsidP="009C1F37">
      <w:pPr>
        <w:numPr>
          <w:ilvl w:val="0"/>
          <w:numId w:val="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 </w:t>
      </w:r>
    </w:p>
    <w:p w14:paraId="0612976A" w14:textId="77777777" w:rsidR="009C1F37" w:rsidRDefault="009C1F37" w:rsidP="009C1F37">
      <w:pPr>
        <w:numPr>
          <w:ilvl w:val="0"/>
          <w:numId w:val="5"/>
        </w:num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 </w:t>
      </w:r>
    </w:p>
    <w:p w14:paraId="12476C1E" w14:textId="77777777" w:rsidR="00000000" w:rsidRPr="009C1F37" w:rsidRDefault="009C1F37" w:rsidP="009C1F37">
      <w:pPr>
        <w:numPr>
          <w:ilvl w:val="0"/>
          <w:numId w:val="5"/>
        </w:numPr>
        <w:spacing w:after="0" w:line="240" w:lineRule="auto"/>
        <w:ind w:left="360"/>
        <w:jc w:val="both"/>
        <w:rPr>
          <w:rFonts w:ascii="Times New Roman" w:eastAsia="Times New Roman" w:hAnsi="Times New Roman" w:cs="Times New Roman"/>
          <w:color w:val="000000"/>
          <w:sz w:val="24"/>
          <w:szCs w:val="24"/>
        </w:rPr>
      </w:pPr>
      <w:r w:rsidRPr="009C1F37">
        <w:rPr>
          <w:rFonts w:ascii="Times New Roman" w:eastAsia="Times New Roman" w:hAnsi="Times New Roman" w:cs="Times New Roman"/>
          <w:color w:val="000000"/>
          <w:sz w:val="24"/>
          <w:szCs w:val="24"/>
        </w:rPr>
        <w:t>Забезпечення дотримання вимог державної системи реєстрації випадків раку відповідно до наказу МОЗ від 01.10.2013 № 845 «Про систему онкологічної допомоги населенню України».</w:t>
      </w:r>
    </w:p>
    <w:sectPr w:rsidR="00F526A8" w:rsidRPr="009C1F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24A"/>
    <w:multiLevelType w:val="multilevel"/>
    <w:tmpl w:val="A8F67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02804"/>
    <w:multiLevelType w:val="multilevel"/>
    <w:tmpl w:val="DC0C3F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917EE0"/>
    <w:multiLevelType w:val="multilevel"/>
    <w:tmpl w:val="51BE6E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A15F9F"/>
    <w:multiLevelType w:val="multilevel"/>
    <w:tmpl w:val="46769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FE3F88"/>
    <w:multiLevelType w:val="multilevel"/>
    <w:tmpl w:val="F7121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C21664"/>
    <w:multiLevelType w:val="multilevel"/>
    <w:tmpl w:val="639CC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4974CC"/>
    <w:multiLevelType w:val="multilevel"/>
    <w:tmpl w:val="19646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4A7D48"/>
    <w:multiLevelType w:val="multilevel"/>
    <w:tmpl w:val="0DD2A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8985247"/>
    <w:multiLevelType w:val="multilevel"/>
    <w:tmpl w:val="609EF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DB2C81"/>
    <w:multiLevelType w:val="multilevel"/>
    <w:tmpl w:val="372C220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2946562"/>
    <w:multiLevelType w:val="multilevel"/>
    <w:tmpl w:val="7B3C3DF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210F71"/>
    <w:multiLevelType w:val="multilevel"/>
    <w:tmpl w:val="0A0A5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AE1534"/>
    <w:multiLevelType w:val="multilevel"/>
    <w:tmpl w:val="6568BF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EB2415"/>
    <w:multiLevelType w:val="multilevel"/>
    <w:tmpl w:val="F404F66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5674597">
    <w:abstractNumId w:val="0"/>
  </w:num>
  <w:num w:numId="2" w16cid:durableId="246035713">
    <w:abstractNumId w:val="7"/>
  </w:num>
  <w:num w:numId="3" w16cid:durableId="1748460977">
    <w:abstractNumId w:val="2"/>
  </w:num>
  <w:num w:numId="4" w16cid:durableId="1497525981">
    <w:abstractNumId w:val="9"/>
  </w:num>
  <w:num w:numId="5" w16cid:durableId="181213074">
    <w:abstractNumId w:val="1"/>
  </w:num>
  <w:num w:numId="6" w16cid:durableId="884372321">
    <w:abstractNumId w:val="12"/>
  </w:num>
  <w:num w:numId="7" w16cid:durableId="720323502">
    <w:abstractNumId w:val="13"/>
  </w:num>
  <w:num w:numId="8" w16cid:durableId="1905556724">
    <w:abstractNumId w:val="6"/>
  </w:num>
  <w:num w:numId="9" w16cid:durableId="166294360">
    <w:abstractNumId w:val="5"/>
  </w:num>
  <w:num w:numId="10" w16cid:durableId="1816335959">
    <w:abstractNumId w:val="8"/>
  </w:num>
  <w:num w:numId="11" w16cid:durableId="880096019">
    <w:abstractNumId w:val="4"/>
  </w:num>
  <w:num w:numId="12" w16cid:durableId="1773863027">
    <w:abstractNumId w:val="3"/>
  </w:num>
  <w:num w:numId="13" w16cid:durableId="1442190215">
    <w:abstractNumId w:val="11"/>
  </w:num>
  <w:num w:numId="14" w16cid:durableId="87458559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1B7AF3"/>
    <w:rsid w:val="00275729"/>
    <w:rsid w:val="004B4AC4"/>
    <w:rsid w:val="005A5F84"/>
    <w:rsid w:val="005F7EFD"/>
    <w:rsid w:val="00694572"/>
    <w:rsid w:val="00770D54"/>
    <w:rsid w:val="0088265A"/>
    <w:rsid w:val="008D21C7"/>
    <w:rsid w:val="009C1F3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6BD8"/>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12000</Words>
  <Characters>6841</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2023-08-18T09:57:00Z</dcterms:created>
  <dcterms:modified xsi:type="dcterms:W3CDTF">2023-08-18T09:57:00Z</dcterms:modified>
</cp:coreProperties>
</file>