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B2A0" w14:textId="77777777" w:rsidR="00522D32" w:rsidRDefault="00522D32" w:rsidP="00522D32">
      <w:pPr>
        <w:pStyle w:val="1"/>
        <w:spacing w:before="0" w:after="0"/>
        <w:ind w:firstLine="709"/>
        <w:jc w:val="center"/>
      </w:pPr>
      <w:r>
        <w:rPr>
          <w:sz w:val="24"/>
          <w:szCs w:val="24"/>
        </w:rPr>
        <w:t>ЛІКУВАННЯ ПАЦІЄНТІВ МЕТОДОМ ГЕМОДІАЛІЗУ В АМБУЛАТОРНИХ УМОВАХ</w:t>
      </w:r>
    </w:p>
    <w:p w14:paraId="549D61B7" w14:textId="77777777" w:rsidR="00522D32" w:rsidRDefault="00522D32" w:rsidP="00522D32"/>
    <w:p w14:paraId="34BA8F29" w14:textId="77777777" w:rsidR="00522D32" w:rsidRDefault="00522D32" w:rsidP="00522D32">
      <w:pPr>
        <w:pBdr>
          <w:top w:val="nil"/>
          <w:left w:val="nil"/>
          <w:bottom w:val="nil"/>
          <w:right w:val="nil"/>
          <w:between w:val="nil"/>
        </w:pBdr>
        <w:spacing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7412DE06" w14:textId="77777777" w:rsidR="00522D32" w:rsidRDefault="00522D32" w:rsidP="00522D32">
      <w:pPr>
        <w:numPr>
          <w:ilvl w:val="0"/>
          <w:numId w:val="1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Первинний огляд пацієнта/пацієнтки та подальше спостереження за станом </w:t>
      </w:r>
      <w:proofErr w:type="spellStart"/>
      <w:r>
        <w:rPr>
          <w:rFonts w:ascii="Times New Roman" w:eastAsia="Times New Roman" w:hAnsi="Times New Roman" w:cs="Times New Roman"/>
          <w:color w:val="000000"/>
          <w:sz w:val="24"/>
          <w:szCs w:val="24"/>
        </w:rPr>
        <w:t>життєво</w:t>
      </w:r>
      <w:proofErr w:type="spellEnd"/>
      <w:r>
        <w:rPr>
          <w:rFonts w:ascii="Times New Roman" w:eastAsia="Times New Roman" w:hAnsi="Times New Roman" w:cs="Times New Roman"/>
          <w:color w:val="000000"/>
          <w:sz w:val="24"/>
          <w:szCs w:val="24"/>
        </w:rPr>
        <w:t xml:space="preserve"> важливих функцій організму. </w:t>
      </w:r>
    </w:p>
    <w:p w14:paraId="12DC8CFC" w14:textId="77777777" w:rsidR="00522D32" w:rsidRDefault="00522D32" w:rsidP="00522D32">
      <w:pPr>
        <w:numPr>
          <w:ilvl w:val="0"/>
          <w:numId w:val="1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 ефективності (адекватності) </w:t>
      </w:r>
      <w:proofErr w:type="spellStart"/>
      <w:r>
        <w:rPr>
          <w:rFonts w:ascii="Times New Roman" w:eastAsia="Times New Roman" w:hAnsi="Times New Roman" w:cs="Times New Roman"/>
          <w:color w:val="000000"/>
          <w:sz w:val="24"/>
          <w:szCs w:val="24"/>
        </w:rPr>
        <w:t>діалізного</w:t>
      </w:r>
      <w:proofErr w:type="spellEnd"/>
      <w:r>
        <w:rPr>
          <w:rFonts w:ascii="Times New Roman" w:eastAsia="Times New Roman" w:hAnsi="Times New Roman" w:cs="Times New Roman"/>
          <w:color w:val="000000"/>
          <w:sz w:val="24"/>
          <w:szCs w:val="24"/>
        </w:rPr>
        <w:t xml:space="preserve"> лікування, включаючи оцінку та корекцію </w:t>
      </w:r>
      <w:proofErr w:type="spellStart"/>
      <w:r>
        <w:rPr>
          <w:rFonts w:ascii="Times New Roman" w:eastAsia="Times New Roman" w:hAnsi="Times New Roman" w:cs="Times New Roman"/>
          <w:color w:val="000000"/>
          <w:sz w:val="24"/>
          <w:szCs w:val="24"/>
        </w:rPr>
        <w:t>нутриційного</w:t>
      </w:r>
      <w:proofErr w:type="spellEnd"/>
      <w:r>
        <w:rPr>
          <w:rFonts w:ascii="Times New Roman" w:eastAsia="Times New Roman" w:hAnsi="Times New Roman" w:cs="Times New Roman"/>
          <w:color w:val="000000"/>
          <w:sz w:val="24"/>
          <w:szCs w:val="24"/>
        </w:rPr>
        <w:t xml:space="preserve"> статусу, своєчасну діагностику, профілактику та лікування ускладнень із направленням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при наявності показань до лікарів-спеціалістів інших профілів. </w:t>
      </w:r>
    </w:p>
    <w:p w14:paraId="32195C51" w14:textId="77777777" w:rsidR="00522D32" w:rsidRDefault="00522D32" w:rsidP="00522D32">
      <w:pPr>
        <w:numPr>
          <w:ilvl w:val="0"/>
          <w:numId w:val="1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процедури гемодіалізу. </w:t>
      </w:r>
    </w:p>
    <w:p w14:paraId="11F74ED1" w14:textId="77777777" w:rsidR="00522D32" w:rsidRDefault="00522D32" w:rsidP="00522D32">
      <w:pPr>
        <w:numPr>
          <w:ilvl w:val="0"/>
          <w:numId w:val="1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лабораторних досліджень відповідно до галузевих стандартів у сфері охорони здоров’я, а також за потребою або при погіршенні стану, зокрема: </w:t>
      </w:r>
    </w:p>
    <w:p w14:paraId="57977507"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(сечовина, креатинін, загальний білок, альбумін, глюкоза, калій, натрій, магній, кальцій (загальний або іонізований), фосфор; фракції білірубіну, </w:t>
      </w:r>
      <w:r w:rsidRPr="00522D32">
        <w:rPr>
          <w:rFonts w:ascii="Times New Roman" w:eastAsia="Times New Roman" w:hAnsi="Times New Roman" w:cs="Times New Roman"/>
          <w:color w:val="000000"/>
          <w:sz w:val="24"/>
          <w:szCs w:val="24"/>
        </w:rPr>
        <w:t>АЛТ, АСТ);</w:t>
      </w:r>
      <w:r>
        <w:rPr>
          <w:rFonts w:ascii="Times New Roman" w:eastAsia="Times New Roman" w:hAnsi="Times New Roman" w:cs="Times New Roman"/>
          <w:b/>
          <w:color w:val="000000"/>
          <w:sz w:val="24"/>
          <w:szCs w:val="24"/>
        </w:rPr>
        <w:t> </w:t>
      </w:r>
    </w:p>
    <w:p w14:paraId="687163DC"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крові; </w:t>
      </w:r>
    </w:p>
    <w:p w14:paraId="6110D25A"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загального холестерину, </w:t>
      </w:r>
      <w:proofErr w:type="spellStart"/>
      <w:r>
        <w:rPr>
          <w:rFonts w:ascii="Times New Roman" w:eastAsia="Times New Roman" w:hAnsi="Times New Roman" w:cs="Times New Roman"/>
          <w:color w:val="000000"/>
          <w:sz w:val="24"/>
          <w:szCs w:val="24"/>
        </w:rPr>
        <w:t>тригліцеридів</w:t>
      </w:r>
      <w:proofErr w:type="spellEnd"/>
      <w:r>
        <w:rPr>
          <w:rFonts w:ascii="Times New Roman" w:eastAsia="Times New Roman" w:hAnsi="Times New Roman" w:cs="Times New Roman"/>
          <w:color w:val="000000"/>
          <w:sz w:val="24"/>
          <w:szCs w:val="24"/>
        </w:rPr>
        <w:t xml:space="preserve"> крові та інших показників ліпідного профілю; </w:t>
      </w:r>
    </w:p>
    <w:p w14:paraId="5D62A1F5"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показників харчового статусу; </w:t>
      </w:r>
    </w:p>
    <w:p w14:paraId="2BEC16FC"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w:t>
      </w:r>
      <w:proofErr w:type="spellStart"/>
      <w:r>
        <w:rPr>
          <w:rFonts w:ascii="Times New Roman" w:eastAsia="Times New Roman" w:hAnsi="Times New Roman" w:cs="Times New Roman"/>
          <w:color w:val="000000"/>
          <w:sz w:val="24"/>
          <w:szCs w:val="24"/>
        </w:rPr>
        <w:t>паратиреоїдного</w:t>
      </w:r>
      <w:proofErr w:type="spellEnd"/>
      <w:r>
        <w:rPr>
          <w:rFonts w:ascii="Times New Roman" w:eastAsia="Times New Roman" w:hAnsi="Times New Roman" w:cs="Times New Roman"/>
          <w:color w:val="000000"/>
          <w:sz w:val="24"/>
          <w:szCs w:val="24"/>
        </w:rPr>
        <w:t xml:space="preserve"> гормону крові; </w:t>
      </w:r>
    </w:p>
    <w:p w14:paraId="1B3A995E"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насичення </w:t>
      </w:r>
      <w:proofErr w:type="spellStart"/>
      <w:r>
        <w:rPr>
          <w:rFonts w:ascii="Times New Roman" w:eastAsia="Times New Roman" w:hAnsi="Times New Roman" w:cs="Times New Roman"/>
          <w:color w:val="000000"/>
          <w:sz w:val="24"/>
          <w:szCs w:val="24"/>
        </w:rPr>
        <w:t>трансферину</w:t>
      </w:r>
      <w:proofErr w:type="spellEnd"/>
      <w:r>
        <w:rPr>
          <w:rFonts w:ascii="Times New Roman" w:eastAsia="Times New Roman" w:hAnsi="Times New Roman" w:cs="Times New Roman"/>
          <w:color w:val="000000"/>
          <w:sz w:val="24"/>
          <w:szCs w:val="24"/>
        </w:rPr>
        <w:t xml:space="preserve"> і сироваткового </w:t>
      </w:r>
      <w:proofErr w:type="spellStart"/>
      <w:r>
        <w:rPr>
          <w:rFonts w:ascii="Times New Roman" w:eastAsia="Times New Roman" w:hAnsi="Times New Roman" w:cs="Times New Roman"/>
          <w:color w:val="000000"/>
          <w:sz w:val="24"/>
          <w:szCs w:val="24"/>
        </w:rPr>
        <w:t>феритину</w:t>
      </w:r>
      <w:proofErr w:type="spellEnd"/>
      <w:r>
        <w:rPr>
          <w:rFonts w:ascii="Times New Roman" w:eastAsia="Times New Roman" w:hAnsi="Times New Roman" w:cs="Times New Roman"/>
          <w:color w:val="000000"/>
          <w:sz w:val="24"/>
          <w:szCs w:val="24"/>
        </w:rPr>
        <w:t>; </w:t>
      </w:r>
    </w:p>
    <w:p w14:paraId="321A5A21"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w:t>
      </w:r>
      <w:proofErr w:type="spellStart"/>
      <w:r>
        <w:rPr>
          <w:rFonts w:ascii="Times New Roman" w:eastAsia="Times New Roman" w:hAnsi="Times New Roman" w:cs="Times New Roman"/>
          <w:color w:val="000000"/>
          <w:sz w:val="24"/>
          <w:szCs w:val="24"/>
        </w:rPr>
        <w:t>HBsAg</w:t>
      </w:r>
      <w:proofErr w:type="spellEnd"/>
      <w:r>
        <w:rPr>
          <w:rFonts w:ascii="Times New Roman" w:eastAsia="Times New Roman" w:hAnsi="Times New Roman" w:cs="Times New Roman"/>
          <w:color w:val="000000"/>
          <w:sz w:val="24"/>
          <w:szCs w:val="24"/>
        </w:rPr>
        <w:t xml:space="preserve">, антитіл до НCV та забезпечення позитивному </w:t>
      </w:r>
      <w:r>
        <w:rPr>
          <w:rFonts w:ascii="Times New Roman" w:eastAsia="Times New Roman" w:hAnsi="Times New Roman" w:cs="Times New Roman"/>
          <w:color w:val="323232"/>
          <w:sz w:val="24"/>
          <w:szCs w:val="24"/>
        </w:rPr>
        <w:t>пацієнту/пацієнтці</w:t>
      </w:r>
      <w:r>
        <w:rPr>
          <w:rFonts w:ascii="Times New Roman" w:eastAsia="Times New Roman" w:hAnsi="Times New Roman" w:cs="Times New Roman"/>
          <w:color w:val="000000"/>
          <w:sz w:val="24"/>
          <w:szCs w:val="24"/>
        </w:rPr>
        <w:t xml:space="preserve"> лікування в окремих залах або на виділених апаратах; </w:t>
      </w:r>
    </w:p>
    <w:p w14:paraId="3800798F"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антитіл до ВІЛ, реакції </w:t>
      </w:r>
      <w:proofErr w:type="spellStart"/>
      <w:r>
        <w:rPr>
          <w:rFonts w:ascii="Times New Roman" w:eastAsia="Times New Roman" w:hAnsi="Times New Roman" w:cs="Times New Roman"/>
          <w:color w:val="000000"/>
          <w:sz w:val="24"/>
          <w:szCs w:val="24"/>
        </w:rPr>
        <w:t>Вассермана</w:t>
      </w:r>
      <w:proofErr w:type="spellEnd"/>
      <w:r>
        <w:rPr>
          <w:rFonts w:ascii="Times New Roman" w:eastAsia="Times New Roman" w:hAnsi="Times New Roman" w:cs="Times New Roman"/>
          <w:color w:val="000000"/>
          <w:sz w:val="24"/>
          <w:szCs w:val="24"/>
        </w:rPr>
        <w:t>; </w:t>
      </w:r>
    </w:p>
    <w:p w14:paraId="05442710" w14:textId="77777777" w:rsid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w:t>
      </w:r>
      <w:proofErr w:type="spellStart"/>
      <w:r>
        <w:rPr>
          <w:rFonts w:ascii="Times New Roman" w:eastAsia="Times New Roman" w:hAnsi="Times New Roman" w:cs="Times New Roman"/>
          <w:color w:val="000000"/>
          <w:sz w:val="24"/>
          <w:szCs w:val="24"/>
        </w:rPr>
        <w:t>діалізної</w:t>
      </w:r>
      <w:proofErr w:type="spellEnd"/>
      <w:r>
        <w:rPr>
          <w:rFonts w:ascii="Times New Roman" w:eastAsia="Times New Roman" w:hAnsi="Times New Roman" w:cs="Times New Roman"/>
          <w:color w:val="000000"/>
          <w:sz w:val="24"/>
          <w:szCs w:val="24"/>
        </w:rPr>
        <w:t xml:space="preserve"> дози;</w:t>
      </w:r>
    </w:p>
    <w:p w14:paraId="229B4890" w14:textId="77777777" w:rsidR="00522D32" w:rsidRPr="00522D32" w:rsidRDefault="00522D32" w:rsidP="00522D3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22D32">
        <w:rPr>
          <w:rFonts w:ascii="Times New Roman" w:eastAsia="Times New Roman" w:hAnsi="Times New Roman" w:cs="Times New Roman"/>
          <w:color w:val="000000"/>
          <w:sz w:val="24"/>
          <w:szCs w:val="24"/>
        </w:rPr>
        <w:t xml:space="preserve">визначення «сухої» ваги </w:t>
      </w:r>
      <w:r w:rsidRPr="00522D32">
        <w:rPr>
          <w:rFonts w:ascii="Times New Roman" w:eastAsia="Times New Roman" w:hAnsi="Times New Roman" w:cs="Times New Roman"/>
          <w:color w:val="323232"/>
          <w:sz w:val="24"/>
          <w:szCs w:val="24"/>
        </w:rPr>
        <w:t>пацієнта/пацієнтки</w:t>
      </w:r>
      <w:r w:rsidRPr="00522D32">
        <w:rPr>
          <w:rFonts w:ascii="Times New Roman" w:eastAsia="Times New Roman" w:hAnsi="Times New Roman" w:cs="Times New Roman"/>
          <w:color w:val="000000"/>
          <w:sz w:val="24"/>
          <w:szCs w:val="24"/>
        </w:rPr>
        <w:t>.</w:t>
      </w:r>
    </w:p>
    <w:p w14:paraId="3A3B752F" w14:textId="77777777" w:rsidR="00522D32" w:rsidRDefault="00522D32" w:rsidP="00522D3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менеджменту судинного доступу: </w:t>
      </w:r>
    </w:p>
    <w:p w14:paraId="160B60BF" w14:textId="77777777" w:rsidR="00522D32" w:rsidRDefault="00522D32" w:rsidP="00522D3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попередження інфекційних ускладнень та тромбозу судинного доступу у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w:t>
      </w:r>
    </w:p>
    <w:p w14:paraId="4D8B3C9A" w14:textId="77777777" w:rsidR="00522D32" w:rsidRDefault="00522D32" w:rsidP="00522D3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направлення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до закладу охорони здоров’я (ЗОЗ) при ускладненнях, пов’язаних із судинним доступом. </w:t>
      </w:r>
    </w:p>
    <w:p w14:paraId="71A0C924" w14:textId="77777777" w:rsidR="00522D32" w:rsidRDefault="00522D32" w:rsidP="00522D3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своєчасної діагностики анемії та проведення її медикаментозного лікування. </w:t>
      </w:r>
    </w:p>
    <w:p w14:paraId="40516B2E" w14:textId="77777777" w:rsidR="00522D32" w:rsidRDefault="00522D32" w:rsidP="00522D3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лікарськими засобами відповідно до Національного переліку основних лікарських засобів, медичними виробами та розхідними матеріалами відповідно до галузевих стандартів у сфері охорони здоров’я. </w:t>
      </w:r>
    </w:p>
    <w:p w14:paraId="0E899C5B" w14:textId="77777777" w:rsidR="00522D32" w:rsidRDefault="00522D32" w:rsidP="00522D3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своєчасної невідкладної медичної допомоги при виникненні станів, що загрожують життю, під час перебування пацієнта/пацієнтки у ЗОЗ. </w:t>
      </w:r>
    </w:p>
    <w:p w14:paraId="503FFDF7" w14:textId="77777777" w:rsidR="00522D32" w:rsidRDefault="00522D32" w:rsidP="00522D3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Направлення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для отримання спеціалізованої медичної допомоги, інших медичних послуг. </w:t>
      </w:r>
    </w:p>
    <w:p w14:paraId="41FEBB55" w14:textId="77777777" w:rsidR="00522D32" w:rsidRDefault="00522D32" w:rsidP="00522D32">
      <w:pPr>
        <w:spacing w:after="240"/>
      </w:pPr>
    </w:p>
    <w:p w14:paraId="6465741C" w14:textId="77777777" w:rsidR="00522D32" w:rsidRDefault="00522D32" w:rsidP="00522D32">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ЛІКУВАННЯ ПАЦІЄНТІВ МЕТОДОМ ГЕМОДІАЛІЗУ В АМБУЛАТОРНИХ УМОВАХ</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t>Умови закупівлі медичних послуг</w:t>
      </w:r>
    </w:p>
    <w:p w14:paraId="232433E9" w14:textId="77777777" w:rsidR="00522D32" w:rsidRDefault="00522D32" w:rsidP="00522D32"/>
    <w:p w14:paraId="3EE82E0A" w14:textId="77777777" w:rsidR="00522D32" w:rsidRDefault="00522D32" w:rsidP="00522D3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 </w:t>
      </w:r>
    </w:p>
    <w:p w14:paraId="6C3AF88B" w14:textId="77777777" w:rsidR="00522D32" w:rsidRDefault="00522D32" w:rsidP="00522D32">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Підстави надання послуги</w:t>
      </w:r>
      <w:r>
        <w:rPr>
          <w:rFonts w:ascii="Times New Roman" w:eastAsia="Times New Roman" w:hAnsi="Times New Roman" w:cs="Times New Roman"/>
          <w:color w:val="000000"/>
          <w:sz w:val="24"/>
          <w:szCs w:val="24"/>
        </w:rPr>
        <w:t>: направлення лікаря-нефролога/ лікаря-нефролога дитячого при встановленому діагнозі:</w:t>
      </w:r>
    </w:p>
    <w:p w14:paraId="2D5DCE34" w14:textId="77777777" w:rsidR="00522D32" w:rsidRDefault="00522D32" w:rsidP="00522D32">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N18.4 Хронічна хвороба нирок, стадія 4 (виключно до показів, вказаних у галузевих стандартах у сфері охорони здоров’я); </w:t>
      </w:r>
    </w:p>
    <w:p w14:paraId="02BC7557" w14:textId="77777777" w:rsidR="00522D32" w:rsidRDefault="00522D32" w:rsidP="00522D32">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N18.5 Хронічна хвороба нирок, стадія 5; </w:t>
      </w:r>
    </w:p>
    <w:p w14:paraId="12EE32EC" w14:textId="77777777" w:rsidR="00522D32" w:rsidRDefault="00522D32" w:rsidP="00522D32">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N18.8 Інші прояви хронічної ниркової недостатності; </w:t>
      </w:r>
    </w:p>
    <w:p w14:paraId="57243092" w14:textId="77777777" w:rsidR="00522D32" w:rsidRDefault="00522D32" w:rsidP="00522D32">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N18.9 Хронічна хвороба нирок неуточнена; </w:t>
      </w:r>
    </w:p>
    <w:p w14:paraId="226841A9" w14:textId="77777777" w:rsidR="00522D32" w:rsidRDefault="00522D32" w:rsidP="00522D32">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N19 Ниркова недостатність неуточнена. </w:t>
      </w:r>
    </w:p>
    <w:p w14:paraId="14ABA419" w14:textId="77777777" w:rsidR="00522D32" w:rsidRDefault="00522D32" w:rsidP="00522D32"/>
    <w:p w14:paraId="17C3134C" w14:textId="77777777" w:rsidR="00522D32" w:rsidRDefault="00522D32" w:rsidP="00522D3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31C817A3"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у ЗОЗ структурного підрозділу, що проводить гемодіаліз в амбулаторних умовах. </w:t>
      </w:r>
    </w:p>
    <w:p w14:paraId="643F9790"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можливості вільного вибору пацієнтами ЗОЗ, де проводиться лікування методом гемодіалізу, при наявності вільних </w:t>
      </w:r>
      <w:proofErr w:type="spellStart"/>
      <w:r>
        <w:rPr>
          <w:rFonts w:ascii="Times New Roman" w:eastAsia="Times New Roman" w:hAnsi="Times New Roman" w:cs="Times New Roman"/>
          <w:color w:val="000000"/>
          <w:sz w:val="24"/>
          <w:szCs w:val="24"/>
        </w:rPr>
        <w:t>діалізних</w:t>
      </w:r>
      <w:proofErr w:type="spellEnd"/>
      <w:r>
        <w:rPr>
          <w:rFonts w:ascii="Times New Roman" w:eastAsia="Times New Roman" w:hAnsi="Times New Roman" w:cs="Times New Roman"/>
          <w:color w:val="000000"/>
          <w:sz w:val="24"/>
          <w:szCs w:val="24"/>
        </w:rPr>
        <w:t xml:space="preserve"> місць у ЗОЗ (відділенні). </w:t>
      </w:r>
    </w:p>
    <w:p w14:paraId="76A656DC"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лабораторної діагностики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передбаченої відповідною специфікацією надання медичних послуг. </w:t>
      </w:r>
    </w:p>
    <w:p w14:paraId="665F372C"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хімічної та мікробіологічної безпеки при проведенні гемодіалізу (контроль якості води, мікробіологічні дослідження змивів з </w:t>
      </w:r>
      <w:proofErr w:type="spellStart"/>
      <w:r>
        <w:rPr>
          <w:rFonts w:ascii="Times New Roman" w:eastAsia="Times New Roman" w:hAnsi="Times New Roman" w:cs="Times New Roman"/>
          <w:color w:val="000000"/>
          <w:sz w:val="24"/>
          <w:szCs w:val="24"/>
        </w:rPr>
        <w:t>діалізних</w:t>
      </w:r>
      <w:proofErr w:type="spellEnd"/>
      <w:r>
        <w:rPr>
          <w:rFonts w:ascii="Times New Roman" w:eastAsia="Times New Roman" w:hAnsi="Times New Roman" w:cs="Times New Roman"/>
          <w:color w:val="000000"/>
          <w:sz w:val="24"/>
          <w:szCs w:val="24"/>
        </w:rPr>
        <w:t xml:space="preserve"> апаратів та залів, стерильність матеріалів та інструментів тощо). </w:t>
      </w:r>
    </w:p>
    <w:p w14:paraId="6DD4798F"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 </w:t>
      </w:r>
    </w:p>
    <w:p w14:paraId="0B485658"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 </w:t>
      </w:r>
    </w:p>
    <w:p w14:paraId="712516F4"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36EE7631"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753910D6"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2947D62F"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43F0870A"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7D796CC9"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w:t>
      </w:r>
      <w:r>
        <w:rPr>
          <w:rFonts w:ascii="Times New Roman" w:eastAsia="Times New Roman" w:hAnsi="Times New Roman" w:cs="Times New Roman"/>
          <w:color w:val="000000"/>
          <w:sz w:val="24"/>
          <w:szCs w:val="24"/>
        </w:rPr>
        <w:lastRenderedPageBreak/>
        <w:t xml:space="preserve">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 </w:t>
      </w:r>
    </w:p>
    <w:p w14:paraId="364F5946"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1D20AED2" w14:textId="77777777" w:rsidR="00522D32" w:rsidRDefault="00522D32" w:rsidP="00522D32">
      <w:pPr>
        <w:numPr>
          <w:ilvl w:val="0"/>
          <w:numId w:val="7"/>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9DF6058" w14:textId="77777777" w:rsidR="00522D32" w:rsidRDefault="00522D32" w:rsidP="00522D32"/>
    <w:p w14:paraId="597FD055" w14:textId="77777777" w:rsidR="00522D32" w:rsidRDefault="00522D32" w:rsidP="00522D3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176827D8" w14:textId="77777777" w:rsidR="00522D32" w:rsidRDefault="00522D32" w:rsidP="00522D32">
      <w:pPr>
        <w:numPr>
          <w:ilvl w:val="0"/>
          <w:numId w:val="6"/>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11CD5094" w14:textId="77777777" w:rsidR="00522D32" w:rsidRDefault="00522D32" w:rsidP="00522D3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Лікар-нефролог та/або лікар-нефролог дитячий (за умови надання допомоги дітям) – щонайменше одна особа із зазначеного переліку, яка працює за основним місцем роботи у цьому закладі. </w:t>
      </w:r>
    </w:p>
    <w:p w14:paraId="0C98FFB5" w14:textId="77777777" w:rsidR="00522D32" w:rsidRDefault="00522D32" w:rsidP="00522D3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2 особи, які працюють за основним місцем роботи у цьому закладі. </w:t>
      </w:r>
    </w:p>
    <w:p w14:paraId="6496703C" w14:textId="77777777" w:rsidR="00522D32" w:rsidRDefault="00522D32" w:rsidP="00522D32"/>
    <w:p w14:paraId="7A5C9173" w14:textId="77777777" w:rsidR="00522D32" w:rsidRDefault="00522D32" w:rsidP="00522D3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 </w:t>
      </w:r>
    </w:p>
    <w:p w14:paraId="4C44D8F2" w14:textId="77777777" w:rsidR="00522D32" w:rsidRDefault="00522D32" w:rsidP="00522D32">
      <w:pPr>
        <w:numPr>
          <w:ilvl w:val="0"/>
          <w:numId w:val="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закладі</w:t>
      </w:r>
      <w:r>
        <w:rPr>
          <w:rFonts w:ascii="Times New Roman" w:eastAsia="Times New Roman" w:hAnsi="Times New Roman" w:cs="Times New Roman"/>
          <w:color w:val="000000"/>
          <w:sz w:val="24"/>
          <w:szCs w:val="24"/>
        </w:rPr>
        <w:t>: </w:t>
      </w:r>
    </w:p>
    <w:p w14:paraId="0843929C" w14:textId="77777777" w:rsidR="00522D32" w:rsidRDefault="00522D32" w:rsidP="00522D3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 </w:t>
      </w:r>
    </w:p>
    <w:p w14:paraId="235C2438" w14:textId="77777777" w:rsidR="00522D32" w:rsidRDefault="00522D32" w:rsidP="00522D3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20E63F01" w14:textId="77777777" w:rsidR="00522D32" w:rsidRDefault="00522D32" w:rsidP="00522D3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3C0BC7DB"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2AFEE2C5"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 для проведення гемодіалізу; </w:t>
      </w:r>
    </w:p>
    <w:p w14:paraId="0F4E5A9D"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спеціалізована сертифікована система очищення води для гемодіалізу разом з контуром </w:t>
      </w:r>
      <w:proofErr w:type="spellStart"/>
      <w:r>
        <w:rPr>
          <w:rFonts w:ascii="Times New Roman" w:eastAsia="Times New Roman" w:hAnsi="Times New Roman" w:cs="Times New Roman"/>
          <w:color w:val="000000"/>
          <w:sz w:val="24"/>
          <w:szCs w:val="24"/>
        </w:rPr>
        <w:t>перміату</w:t>
      </w:r>
      <w:proofErr w:type="spellEnd"/>
      <w:r>
        <w:rPr>
          <w:rFonts w:ascii="Times New Roman" w:eastAsia="Times New Roman" w:hAnsi="Times New Roman" w:cs="Times New Roman"/>
          <w:color w:val="000000"/>
          <w:sz w:val="24"/>
          <w:szCs w:val="24"/>
        </w:rPr>
        <w:t>; </w:t>
      </w:r>
    </w:p>
    <w:p w14:paraId="4BF6F19B"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5B9FA677"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w:t>
      </w:r>
    </w:p>
    <w:p w14:paraId="16C2174C"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2F047FF3"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5AAD4FBD"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45D8E3EB"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медичні; </w:t>
      </w:r>
    </w:p>
    <w:p w14:paraId="2CAC9B8B"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w:t>
      </w:r>
    </w:p>
    <w:p w14:paraId="74D7EFEC" w14:textId="77777777" w:rsidR="00522D32" w:rsidRDefault="00522D32" w:rsidP="00522D3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 </w:t>
      </w:r>
    </w:p>
    <w:p w14:paraId="1B1C1511" w14:textId="77777777" w:rsidR="00522D32" w:rsidRDefault="00522D32" w:rsidP="00522D32"/>
    <w:p w14:paraId="1F60E90C" w14:textId="77777777" w:rsidR="00522D32" w:rsidRDefault="00522D32" w:rsidP="00522D3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 </w:t>
      </w:r>
    </w:p>
    <w:p w14:paraId="63D929DA" w14:textId="77777777" w:rsidR="00000000" w:rsidRPr="00522D32" w:rsidRDefault="00522D32" w:rsidP="00522D32">
      <w:pPr>
        <w:pStyle w:val="a3"/>
        <w:numPr>
          <w:ilvl w:val="3"/>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522D32">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нефрологія та/або дитяча нефрологія.</w:t>
      </w:r>
    </w:p>
    <w:sectPr w:rsidR="00F526A8" w:rsidRPr="00522D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D9"/>
    <w:multiLevelType w:val="multilevel"/>
    <w:tmpl w:val="5528384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CF7528"/>
    <w:multiLevelType w:val="multilevel"/>
    <w:tmpl w:val="841A6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147D4"/>
    <w:multiLevelType w:val="multilevel"/>
    <w:tmpl w:val="C9DA4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53C7F"/>
    <w:multiLevelType w:val="multilevel"/>
    <w:tmpl w:val="0F8A89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38D595E"/>
    <w:multiLevelType w:val="multilevel"/>
    <w:tmpl w:val="7CBE2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382959"/>
    <w:multiLevelType w:val="multilevel"/>
    <w:tmpl w:val="E3F01C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A82C90"/>
    <w:multiLevelType w:val="multilevel"/>
    <w:tmpl w:val="84702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750C97"/>
    <w:multiLevelType w:val="multilevel"/>
    <w:tmpl w:val="4E28A6F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346A05"/>
    <w:multiLevelType w:val="multilevel"/>
    <w:tmpl w:val="0706B2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ED6915"/>
    <w:multiLevelType w:val="multilevel"/>
    <w:tmpl w:val="0D5618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702217"/>
    <w:multiLevelType w:val="multilevel"/>
    <w:tmpl w:val="1108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F95B19"/>
    <w:multiLevelType w:val="multilevel"/>
    <w:tmpl w:val="53241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9167C0"/>
    <w:multiLevelType w:val="multilevel"/>
    <w:tmpl w:val="F1C83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08723397">
    <w:abstractNumId w:val="0"/>
  </w:num>
  <w:num w:numId="2" w16cid:durableId="940184841">
    <w:abstractNumId w:val="1"/>
  </w:num>
  <w:num w:numId="3" w16cid:durableId="1982226052">
    <w:abstractNumId w:val="4"/>
  </w:num>
  <w:num w:numId="4" w16cid:durableId="1907371684">
    <w:abstractNumId w:val="2"/>
  </w:num>
  <w:num w:numId="5" w16cid:durableId="1921451087">
    <w:abstractNumId w:val="6"/>
  </w:num>
  <w:num w:numId="6" w16cid:durableId="703557323">
    <w:abstractNumId w:val="5"/>
  </w:num>
  <w:num w:numId="7" w16cid:durableId="971206170">
    <w:abstractNumId w:val="12"/>
  </w:num>
  <w:num w:numId="8" w16cid:durableId="205529532">
    <w:abstractNumId w:val="10"/>
  </w:num>
  <w:num w:numId="9" w16cid:durableId="1392850552">
    <w:abstractNumId w:val="7"/>
  </w:num>
  <w:num w:numId="10" w16cid:durableId="1098677275">
    <w:abstractNumId w:val="8"/>
  </w:num>
  <w:num w:numId="11" w16cid:durableId="1564217653">
    <w:abstractNumId w:val="9"/>
  </w:num>
  <w:num w:numId="12" w16cid:durableId="1444037653">
    <w:abstractNumId w:val="11"/>
  </w:num>
  <w:num w:numId="13" w16cid:durableId="202743737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0428A5"/>
    <w:rsid w:val="001B5D32"/>
    <w:rsid w:val="001B7AF3"/>
    <w:rsid w:val="0025771F"/>
    <w:rsid w:val="003227AA"/>
    <w:rsid w:val="004D0D9F"/>
    <w:rsid w:val="00522D32"/>
    <w:rsid w:val="005D3A95"/>
    <w:rsid w:val="006238E1"/>
    <w:rsid w:val="006A0A34"/>
    <w:rsid w:val="009A0DF3"/>
    <w:rsid w:val="009F728E"/>
    <w:rsid w:val="00DC37C0"/>
    <w:rsid w:val="00EA5BE9"/>
    <w:rsid w:val="00F06F71"/>
    <w:rsid w:val="00FA4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2D93"/>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6A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4750</Words>
  <Characters>2708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2023-08-18T10:01:00Z</dcterms:created>
  <dcterms:modified xsi:type="dcterms:W3CDTF">2023-08-18T10:01:00Z</dcterms:modified>
</cp:coreProperties>
</file>