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09625" cy="106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МІНІСТЕРСТВО ОХОРОНИ ЗДОРОВ'Я УКРАЇНИ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НАКАЗ</w:t>
      </w:r>
    </w:p>
    <w:tbl>
      <w:tblPr>
        <w:tblStyle w:val="Table1"/>
        <w:tblW w:w="9360.0" w:type="dxa"/>
        <w:jc w:val="left"/>
        <w:tblInd w:w="15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10.03.2022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 459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м. Київ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внесення зміни до наказу Міністерства охорони здоров’я України від 07 березня  2022 року № 421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Відповідно до пункту 8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з метою покращення медичної допомоги хворим з діабетом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НАКАЗУЮ: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1. Внести зміну до підпункту 1 пункту 2 наказу Міністерства охорони здоров’я України від 07.03.2022 № 421 «Деякі питання надання медичної допомоги хворим з діабетом в умовах воєнного стану», доповнивши після слова та знаку «рецептах,» словами та знаком «виписаних у паперовій формі».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2. Контроль за виконанням цього наказу покласти на першого заступника Міністра О. Комаріду.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2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Міністр          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Віктор ЛЯШКО</w:t>
            </w:r>
          </w:p>
        </w:tc>
      </w:tr>
    </w:tbl>
    <w:p w:rsidR="00000000" w:rsidDel="00000000" w:rsidP="00000000" w:rsidRDefault="00000000" w:rsidRPr="00000000" w14:paraId="0000001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i w:val="0"/>
          <w:sz w:val="36"/>
          <w:szCs w:val="36"/>
        </w:rPr>
      </w:pPr>
      <w:r w:rsidDel="00000000" w:rsidR="00000000" w:rsidRPr="00000000">
        <w:rPr>
          <w:b w:val="1"/>
          <w:i w:val="0"/>
          <w:sz w:val="36"/>
          <w:szCs w:val="36"/>
          <w:rtl w:val="0"/>
        </w:rPr>
        <w:t xml:space="preserve">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firstLine="0"/>
        <w:rPr>
          <w:b w:val="1"/>
          <w:i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oz.gov.ua/article/ministry-mandates/nakaz-moz-ukraini-vid-10032022--459-pro-vnesennja-zmini-do-nakazu--ministerstva-ohoroni--zdorov%e2%80%99ja-ukraini--vid-07-bereznja--2022-roku--421#" TargetMode="External"/><Relationship Id="rId8" Type="http://schemas.openxmlformats.org/officeDocument/2006/relationships/hyperlink" Target="https://moz.gov.ua/article/ministry-mandates/nakaz-moz-ukraini-vid-10032022--459-pro-vnesennja-zmini-do-nakazu--ministerstva-ohoroni--zdorov%e2%80%99ja-ukraini--vid-07-bereznja--2022-roku--421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