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robaPro" w:cs="ProbaPro" w:eastAsia="ProbaPro" w:hAnsi="ProbaPro"/>
          <w:b w:val="1"/>
          <w:smallCaps w:val="1"/>
          <w:color w:val="1d1d1b"/>
          <w:sz w:val="41"/>
          <w:szCs w:val="41"/>
        </w:rPr>
      </w:pPr>
      <w:r w:rsidDel="00000000" w:rsidR="00000000" w:rsidRPr="00000000">
        <w:rPr>
          <w:rFonts w:ascii="ProbaPro" w:cs="ProbaPro" w:eastAsia="ProbaPro" w:hAnsi="ProbaPro"/>
          <w:b w:val="1"/>
          <w:smallCaps w:val="1"/>
          <w:color w:val="1d1d1b"/>
          <w:sz w:val="41"/>
          <w:szCs w:val="41"/>
        </w:rPr>
        <w:drawing>
          <wp:inline distB="0" distT="0" distL="0" distR="0">
            <wp:extent cx="400263" cy="663237"/>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00263" cy="66323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ProbaPro" w:cs="ProbaPro" w:eastAsia="ProbaPro" w:hAnsi="ProbaPro"/>
          <w:b w:val="1"/>
          <w:smallCaps w:val="1"/>
          <w:color w:val="1d1d1b"/>
          <w:sz w:val="41"/>
          <w:szCs w:val="41"/>
        </w:rPr>
      </w:pPr>
      <w:r w:rsidDel="00000000" w:rsidR="00000000" w:rsidRPr="00000000">
        <w:rPr>
          <w:rtl w:val="0"/>
        </w:rPr>
      </w:r>
    </w:p>
    <w:p w:rsidR="00000000" w:rsidDel="00000000" w:rsidP="00000000" w:rsidRDefault="00000000" w:rsidRPr="00000000" w14:paraId="00000003">
      <w:pPr>
        <w:jc w:val="center"/>
        <w:rPr>
          <w:rFonts w:ascii="ProbaPro" w:cs="ProbaPro" w:eastAsia="ProbaPro" w:hAnsi="ProbaPro"/>
          <w:b w:val="1"/>
          <w:smallCaps w:val="1"/>
          <w:color w:val="1d1d1b"/>
          <w:sz w:val="41"/>
          <w:szCs w:val="41"/>
        </w:rPr>
      </w:pPr>
      <w:r w:rsidDel="00000000" w:rsidR="00000000" w:rsidRPr="00000000">
        <w:rPr>
          <w:rFonts w:ascii="ProbaPro" w:cs="ProbaPro" w:eastAsia="ProbaPro" w:hAnsi="ProbaPro"/>
          <w:b w:val="1"/>
          <w:smallCaps w:val="1"/>
          <w:color w:val="1d1d1b"/>
          <w:sz w:val="41"/>
          <w:szCs w:val="41"/>
          <w:rtl w:val="0"/>
        </w:rPr>
        <w:t xml:space="preserve">КАБІНЕТ МІНІСТРІВ УКРАЇНИ</w:t>
      </w:r>
    </w:p>
    <w:p w:rsidR="00000000" w:rsidDel="00000000" w:rsidP="00000000" w:rsidRDefault="00000000" w:rsidRPr="00000000" w14:paraId="00000004">
      <w:pPr>
        <w:jc w:val="center"/>
        <w:rPr>
          <w:rFonts w:ascii="ProbaPro" w:cs="ProbaPro" w:eastAsia="ProbaPro" w:hAnsi="ProbaPro"/>
          <w:b w:val="1"/>
          <w:smallCaps w:val="1"/>
          <w:color w:val="1d1d1b"/>
          <w:sz w:val="27"/>
          <w:szCs w:val="27"/>
        </w:rPr>
      </w:pPr>
      <w:r w:rsidDel="00000000" w:rsidR="00000000" w:rsidRPr="00000000">
        <w:rPr>
          <w:rFonts w:ascii="ProbaPro" w:cs="ProbaPro" w:eastAsia="ProbaPro" w:hAnsi="ProbaPro"/>
          <w:b w:val="1"/>
          <w:smallCaps w:val="1"/>
          <w:color w:val="1d1d1b"/>
          <w:sz w:val="27"/>
          <w:szCs w:val="27"/>
          <w:rtl w:val="0"/>
        </w:rPr>
        <w:t xml:space="preserve">ПОСТАНОВА</w:t>
      </w:r>
    </w:p>
    <w:p w:rsidR="00000000" w:rsidDel="00000000" w:rsidP="00000000" w:rsidRDefault="00000000" w:rsidRPr="00000000" w14:paraId="00000005">
      <w:pPr>
        <w:jc w:val="center"/>
        <w:rPr>
          <w:rFonts w:ascii="ProbaPro" w:cs="ProbaPro" w:eastAsia="ProbaPro" w:hAnsi="ProbaPro"/>
          <w:color w:val="1d1d1b"/>
          <w:sz w:val="24"/>
          <w:szCs w:val="24"/>
        </w:rPr>
      </w:pPr>
      <w:r w:rsidDel="00000000" w:rsidR="00000000" w:rsidRPr="00000000">
        <w:rPr>
          <w:rFonts w:ascii="ProbaPro" w:cs="ProbaPro" w:eastAsia="ProbaPro" w:hAnsi="ProbaPro"/>
          <w:color w:val="1d1d1b"/>
          <w:sz w:val="24"/>
          <w:szCs w:val="24"/>
          <w:rtl w:val="0"/>
        </w:rPr>
        <w:t xml:space="preserve">від 01 березня 2022 р. № 174</w:t>
      </w:r>
    </w:p>
    <w:p w:rsidR="00000000" w:rsidDel="00000000" w:rsidP="00000000" w:rsidRDefault="00000000" w:rsidRPr="00000000" w14:paraId="00000006">
      <w:pPr>
        <w:jc w:val="center"/>
        <w:rPr>
          <w:rFonts w:ascii="ProbaPro" w:cs="ProbaPro" w:eastAsia="ProbaPro" w:hAnsi="ProbaPro"/>
          <w:color w:val="333333"/>
          <w:sz w:val="27"/>
          <w:szCs w:val="27"/>
        </w:rPr>
      </w:pPr>
      <w:r w:rsidDel="00000000" w:rsidR="00000000" w:rsidRPr="00000000">
        <w:rPr>
          <w:rFonts w:ascii="ProbaPro" w:cs="ProbaPro" w:eastAsia="ProbaPro" w:hAnsi="ProbaPro"/>
          <w:color w:val="333333"/>
          <w:sz w:val="27"/>
          <w:szCs w:val="27"/>
          <w:rtl w:val="0"/>
        </w:rPr>
        <w:t xml:space="preserve">Київ</w:t>
      </w:r>
    </w:p>
    <w:p w:rsidR="00000000" w:rsidDel="00000000" w:rsidP="00000000" w:rsidRDefault="00000000" w:rsidRPr="00000000" w14:paraId="00000007">
      <w:pPr>
        <w:jc w:val="center"/>
        <w:rPr>
          <w:rFonts w:ascii="ProbaPro" w:cs="ProbaPro" w:eastAsia="ProbaPro" w:hAnsi="ProbaPro"/>
          <w:b w:val="1"/>
          <w:color w:val="333333"/>
          <w:sz w:val="27"/>
          <w:szCs w:val="27"/>
        </w:rPr>
      </w:pPr>
      <w:r w:rsidDel="00000000" w:rsidR="00000000" w:rsidRPr="00000000">
        <w:rPr>
          <w:rFonts w:ascii="ProbaPro" w:cs="ProbaPro" w:eastAsia="ProbaPro" w:hAnsi="ProbaPro"/>
          <w:b w:val="1"/>
          <w:color w:val="333333"/>
          <w:sz w:val="27"/>
          <w:szCs w:val="27"/>
          <w:rtl w:val="0"/>
        </w:rPr>
        <w:t xml:space="preserve">Деякі питання пропуску гуманітарної допомоги через митний кордон України в умовах воєнного стану</w:t>
      </w:r>
    </w:p>
    <w:p w:rsidR="00000000" w:rsidDel="00000000" w:rsidP="00000000" w:rsidRDefault="00000000" w:rsidRPr="00000000" w14:paraId="00000008">
      <w:pPr>
        <w:rPr>
          <w:rFonts w:ascii="ProbaPro" w:cs="ProbaPro" w:eastAsia="ProbaPro" w:hAnsi="ProbaPro"/>
          <w:color w:val="1d1d1b"/>
          <w:sz w:val="27"/>
          <w:szCs w:val="27"/>
        </w:rPr>
      </w:pPr>
      <w:r w:rsidDel="00000000" w:rsidR="00000000" w:rsidRPr="00000000">
        <w:rPr>
          <w:rtl w:val="0"/>
        </w:rPr>
      </w:r>
    </w:p>
    <w:p w:rsidR="00000000" w:rsidDel="00000000" w:rsidP="00000000" w:rsidRDefault="00000000" w:rsidRPr="00000000" w14:paraId="00000009">
      <w:pPr>
        <w:rPr>
          <w:rFonts w:ascii="ProbaPro" w:cs="ProbaPro" w:eastAsia="ProbaPro" w:hAnsi="ProbaPro"/>
          <w:color w:val="1d1d1b"/>
          <w:sz w:val="27"/>
          <w:szCs w:val="27"/>
        </w:rPr>
      </w:pPr>
      <w:r w:rsidDel="00000000" w:rsidR="00000000" w:rsidRPr="00000000">
        <w:rPr>
          <w:rFonts w:ascii="ProbaPro" w:cs="ProbaPro" w:eastAsia="ProbaPro" w:hAnsi="ProbaPro"/>
          <w:color w:val="1d1d1b"/>
          <w:sz w:val="27"/>
          <w:szCs w:val="27"/>
          <w:rtl w:val="0"/>
        </w:rPr>
        <w:t xml:space="preserve">Кабінет Міністрів України </w:t>
      </w:r>
      <w:r w:rsidDel="00000000" w:rsidR="00000000" w:rsidRPr="00000000">
        <w:rPr>
          <w:rFonts w:ascii="ProbaPro" w:cs="ProbaPro" w:eastAsia="ProbaPro" w:hAnsi="ProbaPro"/>
          <w:b w:val="1"/>
          <w:color w:val="1d1d1b"/>
          <w:sz w:val="27"/>
          <w:szCs w:val="27"/>
          <w:rtl w:val="0"/>
        </w:rPr>
        <w:t xml:space="preserve">постановляє:</w:t>
      </w:r>
      <w:r w:rsidDel="00000000" w:rsidR="00000000" w:rsidRPr="00000000">
        <w:rPr>
          <w:rtl w:val="0"/>
        </w:rPr>
      </w:r>
    </w:p>
    <w:p w:rsidR="00000000" w:rsidDel="00000000" w:rsidP="00000000" w:rsidRDefault="00000000" w:rsidRPr="00000000" w14:paraId="0000000A">
      <w:pPr>
        <w:spacing w:after="225" w:lineRule="auto"/>
        <w:jc w:val="both"/>
        <w:rPr>
          <w:rFonts w:ascii="ProbaPro" w:cs="ProbaPro" w:eastAsia="ProbaPro" w:hAnsi="ProbaPro"/>
          <w:color w:val="1d1d1b"/>
          <w:sz w:val="27"/>
          <w:szCs w:val="27"/>
        </w:rPr>
      </w:pPr>
      <w:r w:rsidDel="00000000" w:rsidR="00000000" w:rsidRPr="00000000">
        <w:rPr>
          <w:rFonts w:ascii="ProbaPro" w:cs="ProbaPro" w:eastAsia="ProbaPro" w:hAnsi="ProbaPro"/>
          <w:color w:val="1d1d1b"/>
          <w:sz w:val="27"/>
          <w:szCs w:val="27"/>
          <w:rtl w:val="0"/>
        </w:rPr>
        <w:t xml:space="preserve">1. Установити, що на період воєнного стану пропуск через митний кордон України гуманітарної допомоги від донорів (у значенні Закону України “Про гуманітарну допомогуˮ) здійснюється за місцем перетину митного кордону України шляхом подання товаросупровідних документів або декларації, заповненої особою, що перевозить даний товар, за формою згідно з додатком, без застосування заходів нетарифного регулювання зовнішньоекономічної діяльності.</w:t>
      </w:r>
    </w:p>
    <w:p w:rsidR="00000000" w:rsidDel="00000000" w:rsidP="00000000" w:rsidRDefault="00000000" w:rsidRPr="00000000" w14:paraId="0000000B">
      <w:pPr>
        <w:spacing w:after="225" w:lineRule="auto"/>
        <w:jc w:val="both"/>
        <w:rPr>
          <w:rFonts w:ascii="ProbaPro" w:cs="ProbaPro" w:eastAsia="ProbaPro" w:hAnsi="ProbaPro"/>
          <w:color w:val="1d1d1b"/>
          <w:sz w:val="27"/>
          <w:szCs w:val="27"/>
        </w:rPr>
      </w:pPr>
      <w:r w:rsidDel="00000000" w:rsidR="00000000" w:rsidRPr="00000000">
        <w:rPr>
          <w:rFonts w:ascii="ProbaPro" w:cs="ProbaPro" w:eastAsia="ProbaPro" w:hAnsi="ProbaPro"/>
          <w:color w:val="1d1d1b"/>
          <w:sz w:val="27"/>
          <w:szCs w:val="27"/>
          <w:rtl w:val="0"/>
        </w:rPr>
        <w:t xml:space="preserve">При цьому Порядок митного оформлення вантажів гуманітарної допомоги, затверджений постановою Кабінету Міністрів України від 22 березня 2000 р. № 544, не застосовується.</w:t>
      </w:r>
    </w:p>
    <w:p w:rsidR="00000000" w:rsidDel="00000000" w:rsidP="00000000" w:rsidRDefault="00000000" w:rsidRPr="00000000" w14:paraId="0000000C">
      <w:pPr>
        <w:spacing w:after="225" w:lineRule="auto"/>
        <w:jc w:val="both"/>
        <w:rPr>
          <w:rFonts w:ascii="ProbaPro" w:cs="ProbaPro" w:eastAsia="ProbaPro" w:hAnsi="ProbaPro"/>
          <w:color w:val="1d1d1b"/>
          <w:sz w:val="27"/>
          <w:szCs w:val="27"/>
        </w:rPr>
      </w:pPr>
      <w:r w:rsidDel="00000000" w:rsidR="00000000" w:rsidRPr="00000000">
        <w:rPr>
          <w:rFonts w:ascii="ProbaPro" w:cs="ProbaPro" w:eastAsia="ProbaPro" w:hAnsi="ProbaPro"/>
          <w:color w:val="1d1d1b"/>
          <w:sz w:val="27"/>
          <w:szCs w:val="27"/>
          <w:rtl w:val="0"/>
        </w:rPr>
        <w:t xml:space="preserve">2. Координація роботи з визнання гуманітарною допомогою товарів, що необхідні для здійснення заходів із забезпечення національної безпеки і оборони у зв’язку з військовою агресією Російської Федерації проти України та цивільного захисту населення, здійснюється Кабінетом Міністрів України.</w:t>
      </w:r>
    </w:p>
    <w:p w:rsidR="00000000" w:rsidDel="00000000" w:rsidP="00000000" w:rsidRDefault="00000000" w:rsidRPr="00000000" w14:paraId="0000000D">
      <w:pPr>
        <w:spacing w:after="225" w:lineRule="auto"/>
        <w:jc w:val="both"/>
        <w:rPr>
          <w:rFonts w:ascii="ProbaPro" w:cs="ProbaPro" w:eastAsia="ProbaPro" w:hAnsi="ProbaPro"/>
          <w:color w:val="1d1d1b"/>
          <w:sz w:val="27"/>
          <w:szCs w:val="27"/>
        </w:rPr>
      </w:pPr>
      <w:r w:rsidDel="00000000" w:rsidR="00000000" w:rsidRPr="00000000">
        <w:rPr>
          <w:rFonts w:ascii="ProbaPro" w:cs="ProbaPro" w:eastAsia="ProbaPro" w:hAnsi="ProbaPro"/>
          <w:color w:val="1d1d1b"/>
          <w:sz w:val="27"/>
          <w:szCs w:val="27"/>
          <w:rtl w:val="0"/>
        </w:rPr>
        <w:t xml:space="preserve">3. Державній митній службі та Державній прикордонній службі на період воєнного стану забезпечити невідкладний пропуск через державний кордон України гуманітарної допомоги.</w:t>
      </w:r>
    </w:p>
    <w:p w:rsidR="00000000" w:rsidDel="00000000" w:rsidP="00000000" w:rsidRDefault="00000000" w:rsidRPr="00000000" w14:paraId="0000000E">
      <w:pPr>
        <w:spacing w:after="225" w:lineRule="auto"/>
        <w:jc w:val="both"/>
        <w:rPr>
          <w:rFonts w:ascii="ProbaPro" w:cs="ProbaPro" w:eastAsia="ProbaPro" w:hAnsi="ProbaPro"/>
          <w:color w:val="1d1d1b"/>
          <w:sz w:val="27"/>
          <w:szCs w:val="27"/>
        </w:rPr>
      </w:pPr>
      <w:r w:rsidDel="00000000" w:rsidR="00000000" w:rsidRPr="00000000">
        <w:rPr>
          <w:rFonts w:ascii="ProbaPro" w:cs="ProbaPro" w:eastAsia="ProbaPro" w:hAnsi="ProbaPro"/>
          <w:color w:val="1d1d1b"/>
          <w:sz w:val="27"/>
          <w:szCs w:val="27"/>
          <w:rtl w:val="0"/>
        </w:rPr>
        <w:t xml:space="preserve">4. Керівникам митниць, прикордонних загонів сприяти якнайшвидшому одержанню державою військової допомоги та гуманітарної допомоги.</w:t>
      </w:r>
    </w:p>
    <w:p w:rsidR="00000000" w:rsidDel="00000000" w:rsidP="00000000" w:rsidRDefault="00000000" w:rsidRPr="00000000" w14:paraId="0000000F">
      <w:pPr>
        <w:spacing w:after="225" w:lineRule="auto"/>
        <w:jc w:val="both"/>
        <w:rPr>
          <w:rFonts w:ascii="ProbaPro" w:cs="ProbaPro" w:eastAsia="ProbaPro" w:hAnsi="ProbaPro"/>
          <w:color w:val="1d1d1b"/>
          <w:sz w:val="27"/>
          <w:szCs w:val="27"/>
        </w:rPr>
      </w:pPr>
      <w:r w:rsidDel="00000000" w:rsidR="00000000" w:rsidRPr="00000000">
        <w:rPr>
          <w:rFonts w:ascii="ProbaPro" w:cs="ProbaPro" w:eastAsia="ProbaPro" w:hAnsi="ProbaPro"/>
          <w:color w:val="1d1d1b"/>
          <w:sz w:val="27"/>
          <w:szCs w:val="27"/>
          <w:rtl w:val="0"/>
        </w:rPr>
        <w:t xml:space="preserve">5. Міністерству закордонних справ забезпечити організацію роботи дипломатичних установ за кордоном щодо координації роботи логістичних центрів надання гуманітарної допомоги Україні в країні перебування.</w:t>
      </w:r>
    </w:p>
    <w:p w:rsidR="00000000" w:rsidDel="00000000" w:rsidP="00000000" w:rsidRDefault="00000000" w:rsidRPr="00000000" w14:paraId="00000010">
      <w:pPr>
        <w:spacing w:after="225" w:lineRule="auto"/>
        <w:jc w:val="both"/>
        <w:rPr>
          <w:rFonts w:ascii="ProbaPro" w:cs="ProbaPro" w:eastAsia="ProbaPro" w:hAnsi="ProbaPro"/>
          <w:color w:val="1d1d1b"/>
          <w:sz w:val="27"/>
          <w:szCs w:val="27"/>
        </w:rPr>
      </w:pPr>
      <w:r w:rsidDel="00000000" w:rsidR="00000000" w:rsidRPr="00000000">
        <w:rPr>
          <w:rFonts w:ascii="ProbaPro" w:cs="ProbaPro" w:eastAsia="ProbaPro" w:hAnsi="ProbaPro"/>
          <w:color w:val="1d1d1b"/>
          <w:sz w:val="27"/>
          <w:szCs w:val="27"/>
          <w:rtl w:val="0"/>
        </w:rPr>
        <w:t xml:space="preserve">6. Визнати такою, що втратила чинність, постанову Кабінету Міністрів України від 25 лютого 2022 р. № 155 “Про особливості визнання гуманітарною допомогою товарів, необхідних для здійснення заходів із забезпечення національної безпеки і оборони у зв’язку з військовою агресією Російської Федерації проти України та цивільного захисту населення в умовах введення воєнного стануˮ.</w:t>
      </w:r>
    </w:p>
    <w:p w:rsidR="00000000" w:rsidDel="00000000" w:rsidP="00000000" w:rsidRDefault="00000000" w:rsidRPr="00000000" w14:paraId="00000011">
      <w:pPr>
        <w:jc w:val="both"/>
        <w:rPr>
          <w:rFonts w:ascii="ProbaPro" w:cs="ProbaPro" w:eastAsia="ProbaPro" w:hAnsi="ProbaPro"/>
          <w:b w:val="1"/>
          <w:color w:val="1d1d1b"/>
          <w:sz w:val="27"/>
          <w:szCs w:val="27"/>
        </w:rPr>
      </w:pPr>
      <w:r w:rsidDel="00000000" w:rsidR="00000000" w:rsidRPr="00000000">
        <w:rPr>
          <w:rFonts w:ascii="ProbaPro" w:cs="ProbaPro" w:eastAsia="ProbaPro" w:hAnsi="ProbaPro"/>
          <w:color w:val="1d1d1b"/>
          <w:sz w:val="27"/>
          <w:szCs w:val="27"/>
          <w:rtl w:val="0"/>
        </w:rPr>
        <w:t xml:space="preserve">           </w:t>
      </w:r>
      <w:r w:rsidDel="00000000" w:rsidR="00000000" w:rsidRPr="00000000">
        <w:rPr>
          <w:rFonts w:ascii="ProbaPro" w:cs="ProbaPro" w:eastAsia="ProbaPro" w:hAnsi="ProbaPro"/>
          <w:b w:val="1"/>
          <w:color w:val="1d1d1b"/>
          <w:sz w:val="27"/>
          <w:szCs w:val="27"/>
          <w:rtl w:val="0"/>
        </w:rPr>
        <w:t xml:space="preserve">Прем’єр-міністр України                     Д. ШМИГАЛЬ</w:t>
      </w:r>
    </w:p>
    <w:p w:rsidR="00000000" w:rsidDel="00000000" w:rsidP="00000000" w:rsidRDefault="00000000" w:rsidRPr="00000000" w14:paraId="00000012">
      <w:pPr>
        <w:rPr>
          <w:rFonts w:ascii="ProbaPro" w:cs="ProbaPro" w:eastAsia="ProbaPro" w:hAnsi="ProbaPro"/>
          <w:sz w:val="27"/>
          <w:szCs w:val="27"/>
        </w:rPr>
      </w:pPr>
      <w:r w:rsidDel="00000000" w:rsidR="00000000" w:rsidRPr="00000000">
        <w:rPr>
          <w:rtl w:val="0"/>
        </w:rPr>
      </w:r>
    </w:p>
    <w:p w:rsidR="00000000" w:rsidDel="00000000" w:rsidP="00000000" w:rsidRDefault="00000000" w:rsidRPr="00000000" w14:paraId="00000013">
      <w:pPr>
        <w:tabs>
          <w:tab w:val="left" w:pos="3880"/>
        </w:tabs>
        <w:rPr>
          <w:rFonts w:ascii="ProbaPro" w:cs="ProbaPro" w:eastAsia="ProbaPro" w:hAnsi="ProbaPro"/>
          <w:sz w:val="27"/>
          <w:szCs w:val="27"/>
        </w:rPr>
      </w:pPr>
      <w:r w:rsidDel="00000000" w:rsidR="00000000" w:rsidRPr="00000000">
        <w:rPr>
          <w:rtl w:val="0"/>
        </w:rPr>
      </w:r>
    </w:p>
    <w:p w:rsidR="00000000" w:rsidDel="00000000" w:rsidP="00000000" w:rsidRDefault="00000000" w:rsidRPr="00000000" w14:paraId="00000014">
      <w:pPr>
        <w:keepNext w:val="1"/>
        <w:keepLines w:val="1"/>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40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5">
      <w:pPr>
        <w:keepNext w:val="1"/>
        <w:keepLines w:val="1"/>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40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6">
      <w:pPr>
        <w:keepNext w:val="1"/>
        <w:keepLines w:val="1"/>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40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7">
      <w:pPr>
        <w:keepNext w:val="1"/>
        <w:keepLines w:val="1"/>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40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8">
      <w:pPr>
        <w:keepNext w:val="1"/>
        <w:keepLines w:val="1"/>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40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9">
      <w:pPr>
        <w:keepNext w:val="1"/>
        <w:keepLines w:val="1"/>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40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A">
      <w:pPr>
        <w:keepNext w:val="1"/>
        <w:keepLines w:val="1"/>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40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B">
      <w:pPr>
        <w:keepNext w:val="1"/>
        <w:keepLines w:val="1"/>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40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C">
      <w:pPr>
        <w:keepNext w:val="1"/>
        <w:keepLines w:val="1"/>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40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Додаток</w:t>
        <w:br w:type="textWrapping"/>
        <w:t xml:space="preserve">до постанови Кабінету Міністрів  України</w:t>
        <w:br w:type="textWrapping"/>
        <w:t xml:space="preserve">від1 березня 2022 р. № 174</w:t>
      </w:r>
    </w:p>
    <w:p w:rsidR="00000000" w:rsidDel="00000000" w:rsidP="00000000" w:rsidRDefault="00000000" w:rsidRPr="00000000" w14:paraId="0000001D">
      <w:pPr>
        <w:keepNext w:val="1"/>
        <w:keepLines w:val="1"/>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ДЕКЛАРАЦІЯ </w:t>
        <w:br w:type="textWrapping"/>
        <w:t xml:space="preserve">про перелік товарів, що визнаються </w:t>
        <w:br w:type="textWrapping"/>
        <w:t xml:space="preserve">гуманітарною допомогою</w:t>
      </w:r>
    </w:p>
    <w:tbl>
      <w:tblPr>
        <w:tblStyle w:val="Table1"/>
        <w:tblW w:w="906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71"/>
        <w:gridCol w:w="6190"/>
        <w:tblGridChange w:id="0">
          <w:tblGrid>
            <w:gridCol w:w="2871"/>
            <w:gridCol w:w="6190"/>
          </w:tblGrid>
        </w:tblGridChange>
      </w:tblGrid>
      <w:tr>
        <w:trPr>
          <w:cantSplit w:val="0"/>
          <w:trHeight w:val="1300" w:hRule="atLeast"/>
          <w:tblHeader w:val="0"/>
        </w:trPr>
        <w:tc>
          <w:tcPr>
            <w:shd w:fill="auto" w:val="clear"/>
          </w:tcPr>
          <w:p w:rsidR="00000000" w:rsidDel="00000000" w:rsidP="00000000" w:rsidRDefault="00000000" w:rsidRPr="00000000" w14:paraId="0000001E">
            <w:pPr>
              <w:spacing w:before="120" w:lineRule="auto"/>
              <w:rPr>
                <w:color w:val="000000"/>
                <w:sz w:val="26"/>
                <w:szCs w:val="26"/>
              </w:rPr>
            </w:pPr>
            <w:r w:rsidDel="00000000" w:rsidR="00000000" w:rsidRPr="00000000">
              <w:rPr>
                <w:color w:val="000000"/>
                <w:sz w:val="26"/>
                <w:szCs w:val="26"/>
                <w:rtl w:val="0"/>
              </w:rPr>
              <w:t xml:space="preserve">Прізвище, власне ім’я, по батькові (за наявності) особи, що здійснює декларування/ Name the person making the declaration</w:t>
            </w:r>
          </w:p>
        </w:tc>
        <w:tc>
          <w:tcPr>
            <w:shd w:fill="auto" w:val="clear"/>
          </w:tcPr>
          <w:p w:rsidR="00000000" w:rsidDel="00000000" w:rsidP="00000000" w:rsidRDefault="00000000" w:rsidRPr="00000000" w14:paraId="0000001F">
            <w:pPr>
              <w:spacing w:before="120" w:lineRule="auto"/>
              <w:jc w:val="center"/>
              <w:rPr>
                <w:color w:val="000000"/>
                <w:sz w:val="26"/>
                <w:szCs w:val="26"/>
              </w:rPr>
            </w:pPr>
            <w:r w:rsidDel="00000000" w:rsidR="00000000" w:rsidRPr="00000000">
              <w:rPr>
                <w:color w:val="000000"/>
                <w:sz w:val="26"/>
                <w:szCs w:val="26"/>
                <w:rtl w:val="0"/>
              </w:rPr>
              <w:t xml:space="preserve"> </w:t>
            </w:r>
          </w:p>
        </w:tc>
      </w:tr>
      <w:tr>
        <w:trPr>
          <w:cantSplit w:val="0"/>
          <w:trHeight w:val="639" w:hRule="atLeast"/>
          <w:tblHeader w:val="0"/>
        </w:trPr>
        <w:tc>
          <w:tcPr>
            <w:shd w:fill="auto" w:val="clear"/>
          </w:tcPr>
          <w:p w:rsidR="00000000" w:rsidDel="00000000" w:rsidP="00000000" w:rsidRDefault="00000000" w:rsidRPr="00000000" w14:paraId="00000020">
            <w:pPr>
              <w:spacing w:before="120" w:lineRule="auto"/>
              <w:rPr>
                <w:color w:val="000000"/>
                <w:sz w:val="26"/>
                <w:szCs w:val="26"/>
              </w:rPr>
            </w:pPr>
            <w:r w:rsidDel="00000000" w:rsidR="00000000" w:rsidRPr="00000000">
              <w:rPr>
                <w:color w:val="000000"/>
                <w:sz w:val="26"/>
                <w:szCs w:val="26"/>
                <w:rtl w:val="0"/>
              </w:rPr>
              <w:t xml:space="preserve">Прізвище, власне імя, по батькові (за наявності) водія/ Name and Surname of the Driver</w:t>
            </w:r>
          </w:p>
        </w:tc>
        <w:tc>
          <w:tcPr>
            <w:shd w:fill="auto" w:val="clear"/>
          </w:tcPr>
          <w:p w:rsidR="00000000" w:rsidDel="00000000" w:rsidP="00000000" w:rsidRDefault="00000000" w:rsidRPr="00000000" w14:paraId="00000021">
            <w:pPr>
              <w:spacing w:before="120" w:lineRule="auto"/>
              <w:rPr>
                <w:color w:val="000000"/>
                <w:sz w:val="26"/>
                <w:szCs w:val="26"/>
              </w:rPr>
            </w:pPr>
            <w:r w:rsidDel="00000000" w:rsidR="00000000" w:rsidRPr="00000000">
              <w:rPr>
                <w:color w:val="000000"/>
                <w:sz w:val="26"/>
                <w:szCs w:val="26"/>
                <w:rtl w:val="0"/>
              </w:rPr>
              <w:t xml:space="preserve"> </w:t>
            </w:r>
          </w:p>
        </w:tc>
      </w:tr>
      <w:tr>
        <w:trPr>
          <w:cantSplit w:val="0"/>
          <w:trHeight w:val="563" w:hRule="atLeast"/>
          <w:tblHeader w:val="0"/>
        </w:trPr>
        <w:tc>
          <w:tcPr>
            <w:shd w:fill="auto" w:val="clear"/>
          </w:tcPr>
          <w:p w:rsidR="00000000" w:rsidDel="00000000" w:rsidP="00000000" w:rsidRDefault="00000000" w:rsidRPr="00000000" w14:paraId="00000022">
            <w:pPr>
              <w:spacing w:before="120" w:lineRule="auto"/>
              <w:rPr>
                <w:color w:val="000000"/>
                <w:sz w:val="26"/>
                <w:szCs w:val="26"/>
              </w:rPr>
            </w:pPr>
            <w:r w:rsidDel="00000000" w:rsidR="00000000" w:rsidRPr="00000000">
              <w:rPr>
                <w:color w:val="000000"/>
                <w:sz w:val="26"/>
                <w:szCs w:val="26"/>
                <w:rtl w:val="0"/>
              </w:rPr>
              <w:t xml:space="preserve">Марка машини/ Brand of car</w:t>
            </w:r>
          </w:p>
        </w:tc>
        <w:tc>
          <w:tcPr>
            <w:shd w:fill="auto" w:val="clear"/>
          </w:tcPr>
          <w:p w:rsidR="00000000" w:rsidDel="00000000" w:rsidP="00000000" w:rsidRDefault="00000000" w:rsidRPr="00000000" w14:paraId="00000023">
            <w:pPr>
              <w:spacing w:before="120" w:lineRule="auto"/>
              <w:rPr>
                <w:color w:val="000000"/>
                <w:sz w:val="26"/>
                <w:szCs w:val="26"/>
              </w:rPr>
            </w:pPr>
            <w:r w:rsidDel="00000000" w:rsidR="00000000" w:rsidRPr="00000000">
              <w:rPr>
                <w:color w:val="000000"/>
                <w:sz w:val="26"/>
                <w:szCs w:val="26"/>
                <w:rtl w:val="0"/>
              </w:rPr>
              <w:t xml:space="preserve"> </w:t>
            </w:r>
          </w:p>
        </w:tc>
      </w:tr>
      <w:tr>
        <w:trPr>
          <w:cantSplit w:val="0"/>
          <w:trHeight w:val="648" w:hRule="atLeast"/>
          <w:tblHeader w:val="0"/>
        </w:trPr>
        <w:tc>
          <w:tcPr>
            <w:shd w:fill="auto" w:val="clear"/>
          </w:tcPr>
          <w:p w:rsidR="00000000" w:rsidDel="00000000" w:rsidP="00000000" w:rsidRDefault="00000000" w:rsidRPr="00000000" w14:paraId="00000024">
            <w:pPr>
              <w:spacing w:before="120" w:lineRule="auto"/>
              <w:rPr>
                <w:color w:val="000000"/>
                <w:sz w:val="26"/>
                <w:szCs w:val="26"/>
              </w:rPr>
            </w:pPr>
            <w:r w:rsidDel="00000000" w:rsidR="00000000" w:rsidRPr="00000000">
              <w:rPr>
                <w:color w:val="000000"/>
                <w:sz w:val="26"/>
                <w:szCs w:val="26"/>
                <w:rtl w:val="0"/>
              </w:rPr>
              <w:t xml:space="preserve">Номер машини/Licence plate</w:t>
            </w:r>
          </w:p>
        </w:tc>
        <w:tc>
          <w:tcPr>
            <w:shd w:fill="auto" w:val="clear"/>
          </w:tcPr>
          <w:p w:rsidR="00000000" w:rsidDel="00000000" w:rsidP="00000000" w:rsidRDefault="00000000" w:rsidRPr="00000000" w14:paraId="00000025">
            <w:pPr>
              <w:spacing w:before="120" w:lineRule="auto"/>
              <w:rPr>
                <w:color w:val="000000"/>
                <w:sz w:val="26"/>
                <w:szCs w:val="26"/>
              </w:rPr>
            </w:pPr>
            <w:r w:rsidDel="00000000" w:rsidR="00000000" w:rsidRPr="00000000">
              <w:rPr>
                <w:color w:val="000000"/>
                <w:sz w:val="26"/>
                <w:szCs w:val="26"/>
                <w:rtl w:val="0"/>
              </w:rPr>
              <w:t xml:space="preserve"> </w:t>
            </w:r>
          </w:p>
        </w:tc>
      </w:tr>
      <w:tr>
        <w:trPr>
          <w:cantSplit w:val="0"/>
          <w:trHeight w:val="648" w:hRule="atLeast"/>
          <w:tblHeader w:val="0"/>
        </w:trPr>
        <w:tc>
          <w:tcPr>
            <w:shd w:fill="auto" w:val="clear"/>
          </w:tcPr>
          <w:p w:rsidR="00000000" w:rsidDel="00000000" w:rsidP="00000000" w:rsidRDefault="00000000" w:rsidRPr="00000000" w14:paraId="00000026">
            <w:pPr>
              <w:spacing w:before="120" w:lineRule="auto"/>
              <w:rPr>
                <w:color w:val="000000"/>
                <w:sz w:val="26"/>
                <w:szCs w:val="26"/>
              </w:rPr>
            </w:pPr>
            <w:r w:rsidDel="00000000" w:rsidR="00000000" w:rsidRPr="00000000">
              <w:rPr>
                <w:color w:val="000000"/>
                <w:sz w:val="26"/>
                <w:szCs w:val="26"/>
                <w:rtl w:val="0"/>
              </w:rPr>
              <w:t xml:space="preserve">Відправник/dispatcher</w:t>
            </w:r>
          </w:p>
        </w:tc>
        <w:tc>
          <w:tcPr>
            <w:shd w:fill="auto" w:val="clear"/>
          </w:tcPr>
          <w:p w:rsidR="00000000" w:rsidDel="00000000" w:rsidP="00000000" w:rsidRDefault="00000000" w:rsidRPr="00000000" w14:paraId="00000027">
            <w:pPr>
              <w:spacing w:before="120" w:lineRule="auto"/>
              <w:rPr>
                <w:color w:val="000000"/>
                <w:sz w:val="26"/>
                <w:szCs w:val="26"/>
              </w:rPr>
            </w:pPr>
            <w:r w:rsidDel="00000000" w:rsidR="00000000" w:rsidRPr="00000000">
              <w:rPr>
                <w:rtl w:val="0"/>
              </w:rPr>
            </w:r>
          </w:p>
        </w:tc>
      </w:tr>
      <w:tr>
        <w:trPr>
          <w:cantSplit w:val="0"/>
          <w:trHeight w:val="648" w:hRule="atLeast"/>
          <w:tblHeader w:val="0"/>
        </w:trPr>
        <w:tc>
          <w:tcPr>
            <w:shd w:fill="auto" w:val="clear"/>
          </w:tcPr>
          <w:p w:rsidR="00000000" w:rsidDel="00000000" w:rsidP="00000000" w:rsidRDefault="00000000" w:rsidRPr="00000000" w14:paraId="00000028">
            <w:pPr>
              <w:spacing w:before="120" w:lineRule="auto"/>
              <w:rPr>
                <w:color w:val="000000"/>
                <w:sz w:val="26"/>
                <w:szCs w:val="26"/>
              </w:rPr>
            </w:pPr>
            <w:r w:rsidDel="00000000" w:rsidR="00000000" w:rsidRPr="00000000">
              <w:rPr>
                <w:color w:val="000000"/>
                <w:sz w:val="26"/>
                <w:szCs w:val="26"/>
                <w:rtl w:val="0"/>
              </w:rPr>
              <w:t xml:space="preserve">Отримувач/Recipient</w:t>
            </w:r>
          </w:p>
        </w:tc>
        <w:tc>
          <w:tcPr>
            <w:shd w:fill="auto" w:val="clear"/>
          </w:tcPr>
          <w:p w:rsidR="00000000" w:rsidDel="00000000" w:rsidP="00000000" w:rsidRDefault="00000000" w:rsidRPr="00000000" w14:paraId="00000029">
            <w:pPr>
              <w:spacing w:before="120" w:lineRule="auto"/>
              <w:rPr>
                <w:color w:val="000000"/>
                <w:sz w:val="26"/>
                <w:szCs w:val="26"/>
              </w:rPr>
            </w:pPr>
            <w:r w:rsidDel="00000000" w:rsidR="00000000" w:rsidRPr="00000000">
              <w:rPr>
                <w:rtl w:val="0"/>
              </w:rPr>
            </w:r>
          </w:p>
        </w:tc>
      </w:tr>
      <w:tr>
        <w:trPr>
          <w:cantSplit w:val="0"/>
          <w:trHeight w:val="678" w:hRule="atLeast"/>
          <w:tblHeader w:val="0"/>
        </w:trPr>
        <w:tc>
          <w:tcPr>
            <w:shd w:fill="auto" w:val="clear"/>
          </w:tcPr>
          <w:p w:rsidR="00000000" w:rsidDel="00000000" w:rsidP="00000000" w:rsidRDefault="00000000" w:rsidRPr="00000000" w14:paraId="0000002A">
            <w:pPr>
              <w:spacing w:before="120" w:lineRule="auto"/>
              <w:rPr>
                <w:color w:val="000000"/>
                <w:sz w:val="26"/>
                <w:szCs w:val="26"/>
              </w:rPr>
            </w:pPr>
            <w:r w:rsidDel="00000000" w:rsidR="00000000" w:rsidRPr="00000000">
              <w:rPr>
                <w:color w:val="000000"/>
                <w:sz w:val="26"/>
                <w:szCs w:val="26"/>
                <w:rtl w:val="0"/>
              </w:rPr>
              <w:t xml:space="preserve">Пункт пропуску/ checkpoint</w:t>
            </w:r>
          </w:p>
        </w:tc>
        <w:tc>
          <w:tcPr>
            <w:shd w:fill="auto" w:val="clear"/>
          </w:tcPr>
          <w:p w:rsidR="00000000" w:rsidDel="00000000" w:rsidP="00000000" w:rsidRDefault="00000000" w:rsidRPr="00000000" w14:paraId="0000002B">
            <w:pPr>
              <w:spacing w:before="120" w:lineRule="auto"/>
              <w:rPr>
                <w:color w:val="000000"/>
                <w:sz w:val="26"/>
                <w:szCs w:val="26"/>
              </w:rPr>
            </w:pPr>
            <w:r w:rsidDel="00000000" w:rsidR="00000000" w:rsidRPr="00000000">
              <w:rPr>
                <w:rtl w:val="0"/>
              </w:rPr>
            </w:r>
          </w:p>
        </w:tc>
      </w:tr>
    </w:tbl>
    <w:p w:rsidR="00000000" w:rsidDel="00000000" w:rsidP="00000000" w:rsidRDefault="00000000" w:rsidRPr="00000000" w14:paraId="0000002C">
      <w:pPr>
        <w:rPr/>
      </w:pPr>
      <w:r w:rsidDel="00000000" w:rsidR="00000000" w:rsidRPr="00000000">
        <w:rPr>
          <w:rtl w:val="0"/>
        </w:rPr>
      </w:r>
    </w:p>
    <w:tbl>
      <w:tblPr>
        <w:tblStyle w:val="Table2"/>
        <w:tblW w:w="9061.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5"/>
        <w:gridCol w:w="4701"/>
        <w:gridCol w:w="1803"/>
        <w:gridCol w:w="1482"/>
        <w:tblGridChange w:id="0">
          <w:tblGrid>
            <w:gridCol w:w="1075"/>
            <w:gridCol w:w="4701"/>
            <w:gridCol w:w="1803"/>
            <w:gridCol w:w="1482"/>
          </w:tblGrid>
        </w:tblGridChange>
      </w:tblGrid>
      <w:tr>
        <w:trPr>
          <w:cantSplit w:val="0"/>
          <w:trHeight w:val="410" w:hRule="atLeast"/>
          <w:tblHeader w:val="0"/>
        </w:trPr>
        <w:tc>
          <w:tcPr>
            <w:gridSpan w:val="4"/>
            <w:shd w:fill="auto" w:val="clear"/>
          </w:tcPr>
          <w:p w:rsidR="00000000" w:rsidDel="00000000" w:rsidP="00000000" w:rsidRDefault="00000000" w:rsidRPr="00000000" w14:paraId="0000002D">
            <w:pPr>
              <w:spacing w:before="120" w:lineRule="auto"/>
              <w:jc w:val="center"/>
              <w:rPr>
                <w:color w:val="000000"/>
                <w:sz w:val="26"/>
                <w:szCs w:val="26"/>
              </w:rPr>
            </w:pPr>
            <w:r w:rsidDel="00000000" w:rsidR="00000000" w:rsidRPr="00000000">
              <w:rPr>
                <w:color w:val="000000"/>
                <w:sz w:val="26"/>
                <w:szCs w:val="26"/>
                <w:rtl w:val="0"/>
              </w:rPr>
              <w:t xml:space="preserve">Вид допомоги/ Type of assistance</w:t>
            </w:r>
          </w:p>
        </w:tc>
      </w:tr>
      <w:tr>
        <w:trPr>
          <w:cantSplit w:val="0"/>
          <w:trHeight w:val="606" w:hRule="atLeast"/>
          <w:tblHeader w:val="0"/>
        </w:trPr>
        <w:tc>
          <w:tcPr>
            <w:shd w:fill="auto" w:val="clear"/>
            <w:vAlign w:val="center"/>
          </w:tcPr>
          <w:p w:rsidR="00000000" w:rsidDel="00000000" w:rsidP="00000000" w:rsidRDefault="00000000" w:rsidRPr="00000000" w14:paraId="00000031">
            <w:pPr>
              <w:spacing w:before="120" w:lineRule="auto"/>
              <w:jc w:val="center"/>
              <w:rPr>
                <w:color w:val="000000"/>
                <w:sz w:val="26"/>
                <w:szCs w:val="26"/>
              </w:rPr>
            </w:pPr>
            <w:r w:rsidDel="00000000" w:rsidR="00000000" w:rsidRPr="00000000">
              <w:rPr>
                <w:color w:val="000000"/>
                <w:sz w:val="26"/>
                <w:szCs w:val="26"/>
                <w:rtl w:val="0"/>
              </w:rPr>
              <w:t xml:space="preserve">№</w:t>
            </w:r>
          </w:p>
        </w:tc>
        <w:tc>
          <w:tcPr>
            <w:shd w:fill="auto" w:val="clear"/>
            <w:vAlign w:val="center"/>
          </w:tcPr>
          <w:p w:rsidR="00000000" w:rsidDel="00000000" w:rsidP="00000000" w:rsidRDefault="00000000" w:rsidRPr="00000000" w14:paraId="00000032">
            <w:pPr>
              <w:spacing w:before="120" w:lineRule="auto"/>
              <w:jc w:val="center"/>
              <w:rPr>
                <w:color w:val="000000"/>
                <w:sz w:val="26"/>
                <w:szCs w:val="26"/>
              </w:rPr>
            </w:pPr>
            <w:r w:rsidDel="00000000" w:rsidR="00000000" w:rsidRPr="00000000">
              <w:rPr>
                <w:color w:val="000000"/>
                <w:sz w:val="26"/>
                <w:szCs w:val="26"/>
                <w:rtl w:val="0"/>
              </w:rPr>
              <w:t xml:space="preserve">Товар/ Goods</w:t>
            </w:r>
          </w:p>
        </w:tc>
        <w:tc>
          <w:tcPr>
            <w:shd w:fill="auto" w:val="clear"/>
            <w:vAlign w:val="center"/>
          </w:tcPr>
          <w:p w:rsidR="00000000" w:rsidDel="00000000" w:rsidP="00000000" w:rsidRDefault="00000000" w:rsidRPr="00000000" w14:paraId="00000033">
            <w:pPr>
              <w:spacing w:before="120" w:lineRule="auto"/>
              <w:jc w:val="center"/>
              <w:rPr>
                <w:color w:val="000000"/>
                <w:sz w:val="26"/>
                <w:szCs w:val="26"/>
              </w:rPr>
            </w:pPr>
            <w:r w:rsidDel="00000000" w:rsidR="00000000" w:rsidRPr="00000000">
              <w:rPr>
                <w:color w:val="000000"/>
                <w:sz w:val="26"/>
                <w:szCs w:val="26"/>
                <w:rtl w:val="0"/>
              </w:rPr>
              <w:t xml:space="preserve">Кількість, шт/ Quantity, pc</w:t>
            </w:r>
          </w:p>
        </w:tc>
        <w:tc>
          <w:tcPr>
            <w:shd w:fill="auto" w:val="clear"/>
            <w:vAlign w:val="center"/>
          </w:tcPr>
          <w:p w:rsidR="00000000" w:rsidDel="00000000" w:rsidP="00000000" w:rsidRDefault="00000000" w:rsidRPr="00000000" w14:paraId="00000034">
            <w:pPr>
              <w:spacing w:before="120" w:lineRule="auto"/>
              <w:jc w:val="center"/>
              <w:rPr>
                <w:color w:val="000000"/>
                <w:sz w:val="26"/>
                <w:szCs w:val="26"/>
              </w:rPr>
            </w:pPr>
            <w:r w:rsidDel="00000000" w:rsidR="00000000" w:rsidRPr="00000000">
              <w:rPr>
                <w:color w:val="000000"/>
                <w:sz w:val="26"/>
                <w:szCs w:val="26"/>
                <w:rtl w:val="0"/>
              </w:rPr>
              <w:t xml:space="preserve">Об’єм/ volume (boxes)</w:t>
            </w:r>
          </w:p>
        </w:tc>
      </w:tr>
      <w:tr>
        <w:trPr>
          <w:cantSplit w:val="0"/>
          <w:trHeight w:val="410" w:hRule="atLeast"/>
          <w:tblHeader w:val="0"/>
        </w:trPr>
        <w:tc>
          <w:tcPr>
            <w:shd w:fill="auto" w:val="clear"/>
          </w:tcPr>
          <w:p w:rsidR="00000000" w:rsidDel="00000000" w:rsidP="00000000" w:rsidRDefault="00000000" w:rsidRPr="00000000" w14:paraId="00000035">
            <w:pPr>
              <w:spacing w:before="120" w:lineRule="auto"/>
              <w:rPr>
                <w:color w:val="000000"/>
                <w:sz w:val="26"/>
                <w:szCs w:val="26"/>
              </w:rPr>
            </w:pPr>
            <w:r w:rsidDel="00000000" w:rsidR="00000000" w:rsidRPr="00000000">
              <w:rPr>
                <w:color w:val="000000"/>
                <w:sz w:val="26"/>
                <w:szCs w:val="26"/>
                <w:rtl w:val="0"/>
              </w:rPr>
              <w:t xml:space="preserve"> </w:t>
            </w:r>
          </w:p>
        </w:tc>
        <w:tc>
          <w:tcPr>
            <w:shd w:fill="auto" w:val="clear"/>
          </w:tcPr>
          <w:p w:rsidR="00000000" w:rsidDel="00000000" w:rsidP="00000000" w:rsidRDefault="00000000" w:rsidRPr="00000000" w14:paraId="00000036">
            <w:pPr>
              <w:spacing w:before="120" w:lineRule="auto"/>
              <w:rPr>
                <w:color w:val="000000"/>
                <w:sz w:val="26"/>
                <w:szCs w:val="26"/>
              </w:rPr>
            </w:pPr>
            <w:r w:rsidDel="00000000" w:rsidR="00000000" w:rsidRPr="00000000">
              <w:rPr>
                <w:color w:val="000000"/>
                <w:sz w:val="26"/>
                <w:szCs w:val="26"/>
                <w:rtl w:val="0"/>
              </w:rPr>
              <w:t xml:space="preserve"> </w:t>
            </w:r>
          </w:p>
        </w:tc>
        <w:tc>
          <w:tcPr>
            <w:shd w:fill="auto" w:val="clear"/>
          </w:tcPr>
          <w:p w:rsidR="00000000" w:rsidDel="00000000" w:rsidP="00000000" w:rsidRDefault="00000000" w:rsidRPr="00000000" w14:paraId="00000037">
            <w:pPr>
              <w:spacing w:before="120" w:lineRule="auto"/>
              <w:rPr>
                <w:color w:val="000000"/>
                <w:sz w:val="26"/>
                <w:szCs w:val="26"/>
              </w:rPr>
            </w:pPr>
            <w:r w:rsidDel="00000000" w:rsidR="00000000" w:rsidRPr="00000000">
              <w:rPr>
                <w:color w:val="000000"/>
                <w:sz w:val="26"/>
                <w:szCs w:val="26"/>
                <w:rtl w:val="0"/>
              </w:rPr>
              <w:t xml:space="preserve"> </w:t>
            </w:r>
          </w:p>
        </w:tc>
        <w:tc>
          <w:tcPr>
            <w:shd w:fill="auto" w:val="clear"/>
          </w:tcPr>
          <w:p w:rsidR="00000000" w:rsidDel="00000000" w:rsidP="00000000" w:rsidRDefault="00000000" w:rsidRPr="00000000" w14:paraId="00000038">
            <w:pPr>
              <w:spacing w:before="120" w:lineRule="auto"/>
              <w:rPr>
                <w:color w:val="000000"/>
                <w:sz w:val="26"/>
                <w:szCs w:val="26"/>
              </w:rPr>
            </w:pPr>
            <w:r w:rsidDel="00000000" w:rsidR="00000000" w:rsidRPr="00000000">
              <w:rPr>
                <w:color w:val="000000"/>
                <w:sz w:val="26"/>
                <w:szCs w:val="26"/>
                <w:rtl w:val="0"/>
              </w:rPr>
              <w:t xml:space="preserve"> </w:t>
            </w:r>
          </w:p>
        </w:tc>
      </w:tr>
      <w:tr>
        <w:trPr>
          <w:cantSplit w:val="0"/>
          <w:trHeight w:val="401" w:hRule="atLeast"/>
          <w:tblHeader w:val="0"/>
        </w:trPr>
        <w:tc>
          <w:tcPr>
            <w:shd w:fill="auto" w:val="clear"/>
          </w:tcPr>
          <w:p w:rsidR="00000000" w:rsidDel="00000000" w:rsidP="00000000" w:rsidRDefault="00000000" w:rsidRPr="00000000" w14:paraId="00000039">
            <w:pPr>
              <w:spacing w:before="120" w:lineRule="auto"/>
              <w:rPr>
                <w:color w:val="000000"/>
                <w:sz w:val="26"/>
                <w:szCs w:val="26"/>
              </w:rPr>
            </w:pPr>
            <w:r w:rsidDel="00000000" w:rsidR="00000000" w:rsidRPr="00000000">
              <w:rPr>
                <w:color w:val="000000"/>
                <w:sz w:val="26"/>
                <w:szCs w:val="26"/>
                <w:rtl w:val="0"/>
              </w:rPr>
              <w:t xml:space="preserve"> </w:t>
            </w:r>
          </w:p>
        </w:tc>
        <w:tc>
          <w:tcPr>
            <w:shd w:fill="auto" w:val="clear"/>
          </w:tcPr>
          <w:p w:rsidR="00000000" w:rsidDel="00000000" w:rsidP="00000000" w:rsidRDefault="00000000" w:rsidRPr="00000000" w14:paraId="0000003A">
            <w:pPr>
              <w:spacing w:before="120" w:lineRule="auto"/>
              <w:rPr>
                <w:color w:val="000000"/>
                <w:sz w:val="26"/>
                <w:szCs w:val="26"/>
              </w:rPr>
            </w:pPr>
            <w:r w:rsidDel="00000000" w:rsidR="00000000" w:rsidRPr="00000000">
              <w:rPr>
                <w:color w:val="000000"/>
                <w:sz w:val="26"/>
                <w:szCs w:val="26"/>
                <w:rtl w:val="0"/>
              </w:rPr>
              <w:t xml:space="preserve"> </w:t>
            </w:r>
          </w:p>
        </w:tc>
        <w:tc>
          <w:tcPr>
            <w:shd w:fill="auto" w:val="clear"/>
          </w:tcPr>
          <w:p w:rsidR="00000000" w:rsidDel="00000000" w:rsidP="00000000" w:rsidRDefault="00000000" w:rsidRPr="00000000" w14:paraId="0000003B">
            <w:pPr>
              <w:spacing w:before="120" w:lineRule="auto"/>
              <w:rPr>
                <w:color w:val="000000"/>
                <w:sz w:val="26"/>
                <w:szCs w:val="26"/>
              </w:rPr>
            </w:pPr>
            <w:r w:rsidDel="00000000" w:rsidR="00000000" w:rsidRPr="00000000">
              <w:rPr>
                <w:color w:val="000000"/>
                <w:sz w:val="26"/>
                <w:szCs w:val="26"/>
                <w:rtl w:val="0"/>
              </w:rPr>
              <w:t xml:space="preserve"> </w:t>
            </w:r>
          </w:p>
        </w:tc>
        <w:tc>
          <w:tcPr>
            <w:shd w:fill="auto" w:val="clear"/>
          </w:tcPr>
          <w:p w:rsidR="00000000" w:rsidDel="00000000" w:rsidP="00000000" w:rsidRDefault="00000000" w:rsidRPr="00000000" w14:paraId="0000003C">
            <w:pPr>
              <w:spacing w:before="120" w:lineRule="auto"/>
              <w:rPr>
                <w:color w:val="000000"/>
                <w:sz w:val="26"/>
                <w:szCs w:val="26"/>
              </w:rPr>
            </w:pPr>
            <w:r w:rsidDel="00000000" w:rsidR="00000000" w:rsidRPr="00000000">
              <w:rPr>
                <w:color w:val="000000"/>
                <w:sz w:val="26"/>
                <w:szCs w:val="26"/>
                <w:rtl w:val="0"/>
              </w:rPr>
              <w:t xml:space="preserve"> </w:t>
            </w:r>
          </w:p>
        </w:tc>
      </w:tr>
      <w:tr>
        <w:trPr>
          <w:cantSplit w:val="0"/>
          <w:trHeight w:val="395" w:hRule="atLeast"/>
          <w:tblHeader w:val="0"/>
        </w:trPr>
        <w:tc>
          <w:tcPr>
            <w:shd w:fill="auto" w:val="clear"/>
          </w:tcPr>
          <w:p w:rsidR="00000000" w:rsidDel="00000000" w:rsidP="00000000" w:rsidRDefault="00000000" w:rsidRPr="00000000" w14:paraId="0000003D">
            <w:pPr>
              <w:spacing w:before="120" w:lineRule="auto"/>
              <w:rPr>
                <w:color w:val="000000"/>
                <w:sz w:val="26"/>
                <w:szCs w:val="26"/>
              </w:rPr>
            </w:pPr>
            <w:r w:rsidDel="00000000" w:rsidR="00000000" w:rsidRPr="00000000">
              <w:rPr>
                <w:rtl w:val="0"/>
              </w:rPr>
            </w:r>
          </w:p>
        </w:tc>
        <w:tc>
          <w:tcPr>
            <w:shd w:fill="auto" w:val="clear"/>
          </w:tcPr>
          <w:p w:rsidR="00000000" w:rsidDel="00000000" w:rsidP="00000000" w:rsidRDefault="00000000" w:rsidRPr="00000000" w14:paraId="0000003E">
            <w:pPr>
              <w:spacing w:before="120" w:lineRule="auto"/>
              <w:rPr>
                <w:color w:val="000000"/>
                <w:sz w:val="26"/>
                <w:szCs w:val="26"/>
              </w:rPr>
            </w:pPr>
            <w:r w:rsidDel="00000000" w:rsidR="00000000" w:rsidRPr="00000000">
              <w:rPr>
                <w:rtl w:val="0"/>
              </w:rPr>
            </w:r>
          </w:p>
        </w:tc>
        <w:tc>
          <w:tcPr>
            <w:shd w:fill="auto" w:val="clear"/>
          </w:tcPr>
          <w:p w:rsidR="00000000" w:rsidDel="00000000" w:rsidP="00000000" w:rsidRDefault="00000000" w:rsidRPr="00000000" w14:paraId="0000003F">
            <w:pPr>
              <w:spacing w:before="120" w:lineRule="auto"/>
              <w:rPr>
                <w:color w:val="000000"/>
                <w:sz w:val="26"/>
                <w:szCs w:val="26"/>
              </w:rPr>
            </w:pPr>
            <w:r w:rsidDel="00000000" w:rsidR="00000000" w:rsidRPr="00000000">
              <w:rPr>
                <w:rtl w:val="0"/>
              </w:rPr>
            </w:r>
          </w:p>
        </w:tc>
        <w:tc>
          <w:tcPr>
            <w:shd w:fill="auto" w:val="clear"/>
          </w:tcPr>
          <w:p w:rsidR="00000000" w:rsidDel="00000000" w:rsidP="00000000" w:rsidRDefault="00000000" w:rsidRPr="00000000" w14:paraId="00000040">
            <w:pPr>
              <w:spacing w:before="120" w:lineRule="auto"/>
              <w:rPr>
                <w:color w:val="000000"/>
                <w:sz w:val="26"/>
                <w:szCs w:val="26"/>
              </w:rPr>
            </w:pPr>
            <w:r w:rsidDel="00000000" w:rsidR="00000000" w:rsidRPr="00000000">
              <w:rPr>
                <w:rtl w:val="0"/>
              </w:rPr>
            </w:r>
          </w:p>
        </w:tc>
      </w:tr>
      <w:tr>
        <w:trPr>
          <w:cantSplit w:val="0"/>
          <w:trHeight w:val="395" w:hRule="atLeast"/>
          <w:tblHeader w:val="0"/>
        </w:trPr>
        <w:tc>
          <w:tcPr>
            <w:shd w:fill="auto" w:val="clear"/>
          </w:tcPr>
          <w:p w:rsidR="00000000" w:rsidDel="00000000" w:rsidP="00000000" w:rsidRDefault="00000000" w:rsidRPr="00000000" w14:paraId="00000041">
            <w:pPr>
              <w:spacing w:before="120" w:lineRule="auto"/>
              <w:rPr>
                <w:color w:val="000000"/>
                <w:sz w:val="26"/>
                <w:szCs w:val="26"/>
              </w:rPr>
            </w:pPr>
            <w:r w:rsidDel="00000000" w:rsidR="00000000" w:rsidRPr="00000000">
              <w:rPr>
                <w:rtl w:val="0"/>
              </w:rPr>
            </w:r>
          </w:p>
        </w:tc>
        <w:tc>
          <w:tcPr>
            <w:shd w:fill="auto" w:val="clear"/>
          </w:tcPr>
          <w:p w:rsidR="00000000" w:rsidDel="00000000" w:rsidP="00000000" w:rsidRDefault="00000000" w:rsidRPr="00000000" w14:paraId="00000042">
            <w:pPr>
              <w:spacing w:before="120" w:lineRule="auto"/>
              <w:rPr>
                <w:color w:val="000000"/>
                <w:sz w:val="26"/>
                <w:szCs w:val="26"/>
              </w:rPr>
            </w:pPr>
            <w:r w:rsidDel="00000000" w:rsidR="00000000" w:rsidRPr="00000000">
              <w:rPr>
                <w:rtl w:val="0"/>
              </w:rPr>
            </w:r>
          </w:p>
        </w:tc>
        <w:tc>
          <w:tcPr>
            <w:shd w:fill="auto" w:val="clear"/>
          </w:tcPr>
          <w:p w:rsidR="00000000" w:rsidDel="00000000" w:rsidP="00000000" w:rsidRDefault="00000000" w:rsidRPr="00000000" w14:paraId="00000043">
            <w:pPr>
              <w:spacing w:before="120" w:lineRule="auto"/>
              <w:rPr>
                <w:color w:val="000000"/>
                <w:sz w:val="26"/>
                <w:szCs w:val="26"/>
              </w:rPr>
            </w:pPr>
            <w:r w:rsidDel="00000000" w:rsidR="00000000" w:rsidRPr="00000000">
              <w:rPr>
                <w:rtl w:val="0"/>
              </w:rPr>
            </w:r>
          </w:p>
        </w:tc>
        <w:tc>
          <w:tcPr>
            <w:shd w:fill="auto" w:val="clear"/>
          </w:tcPr>
          <w:p w:rsidR="00000000" w:rsidDel="00000000" w:rsidP="00000000" w:rsidRDefault="00000000" w:rsidRPr="00000000" w14:paraId="00000044">
            <w:pPr>
              <w:spacing w:before="120" w:lineRule="auto"/>
              <w:rPr>
                <w:color w:val="000000"/>
                <w:sz w:val="26"/>
                <w:szCs w:val="26"/>
              </w:rPr>
            </w:pPr>
            <w:r w:rsidDel="00000000" w:rsidR="00000000" w:rsidRPr="00000000">
              <w:rPr>
                <w:rtl w:val="0"/>
              </w:rPr>
            </w:r>
          </w:p>
        </w:tc>
      </w:tr>
      <w:tr>
        <w:trPr>
          <w:cantSplit w:val="0"/>
          <w:trHeight w:val="395" w:hRule="atLeast"/>
          <w:tblHeader w:val="0"/>
        </w:trPr>
        <w:tc>
          <w:tcPr>
            <w:shd w:fill="auto" w:val="clear"/>
          </w:tcPr>
          <w:p w:rsidR="00000000" w:rsidDel="00000000" w:rsidP="00000000" w:rsidRDefault="00000000" w:rsidRPr="00000000" w14:paraId="00000045">
            <w:pPr>
              <w:spacing w:before="120" w:lineRule="auto"/>
              <w:rPr>
                <w:color w:val="000000"/>
                <w:sz w:val="26"/>
                <w:szCs w:val="26"/>
              </w:rPr>
            </w:pPr>
            <w:r w:rsidDel="00000000" w:rsidR="00000000" w:rsidRPr="00000000">
              <w:rPr>
                <w:rtl w:val="0"/>
              </w:rPr>
            </w:r>
          </w:p>
        </w:tc>
        <w:tc>
          <w:tcPr>
            <w:shd w:fill="auto" w:val="clear"/>
          </w:tcPr>
          <w:p w:rsidR="00000000" w:rsidDel="00000000" w:rsidP="00000000" w:rsidRDefault="00000000" w:rsidRPr="00000000" w14:paraId="00000046">
            <w:pPr>
              <w:spacing w:before="120" w:lineRule="auto"/>
              <w:rPr>
                <w:color w:val="000000"/>
                <w:sz w:val="26"/>
                <w:szCs w:val="26"/>
              </w:rPr>
            </w:pPr>
            <w:r w:rsidDel="00000000" w:rsidR="00000000" w:rsidRPr="00000000">
              <w:rPr>
                <w:rtl w:val="0"/>
              </w:rPr>
            </w:r>
          </w:p>
        </w:tc>
        <w:tc>
          <w:tcPr>
            <w:shd w:fill="auto" w:val="clear"/>
          </w:tcPr>
          <w:p w:rsidR="00000000" w:rsidDel="00000000" w:rsidP="00000000" w:rsidRDefault="00000000" w:rsidRPr="00000000" w14:paraId="00000047">
            <w:pPr>
              <w:spacing w:before="120" w:lineRule="auto"/>
              <w:rPr>
                <w:color w:val="000000"/>
                <w:sz w:val="26"/>
                <w:szCs w:val="26"/>
              </w:rPr>
            </w:pPr>
            <w:r w:rsidDel="00000000" w:rsidR="00000000" w:rsidRPr="00000000">
              <w:rPr>
                <w:rtl w:val="0"/>
              </w:rPr>
            </w:r>
          </w:p>
        </w:tc>
        <w:tc>
          <w:tcPr>
            <w:shd w:fill="auto" w:val="clear"/>
          </w:tcPr>
          <w:p w:rsidR="00000000" w:rsidDel="00000000" w:rsidP="00000000" w:rsidRDefault="00000000" w:rsidRPr="00000000" w14:paraId="00000048">
            <w:pPr>
              <w:spacing w:before="120" w:lineRule="auto"/>
              <w:rPr>
                <w:color w:val="000000"/>
                <w:sz w:val="26"/>
                <w:szCs w:val="26"/>
              </w:rPr>
            </w:pPr>
            <w:r w:rsidDel="00000000" w:rsidR="00000000" w:rsidRPr="00000000">
              <w:rPr>
                <w:rtl w:val="0"/>
              </w:rPr>
            </w:r>
          </w:p>
        </w:tc>
      </w:tr>
    </w:tbl>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________________________</w:t>
      </w:r>
    </w:p>
    <w:sectPr>
      <w:headerReference r:id="rId7" w:type="default"/>
      <w:headerReference r:id="rId8" w:type="even"/>
      <w:pgSz w:h="16838" w:w="11906" w:orient="portrait"/>
      <w:pgMar w:bottom="1134" w:top="1134" w:left="1701" w:right="1134" w:header="567"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ProbaPro"/>
  <w:font w:name="Antiqu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jc w:val="center"/>
      <w:rPr>
        <w:sz w:val="28"/>
        <w:szCs w:val="28"/>
      </w:rPr>
    </w:pPr>
    <w:r w:rsidDel="00000000" w:rsidR="00000000" w:rsidRPr="00000000">
      <w:rPr>
        <w:sz w:val="28"/>
        <w:szCs w:val="2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B">
    <w:pPr>
      <w:rPr>
        <w:sz w:val="28"/>
        <w:szCs w:val="28"/>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before="240" w:lineRule="auto"/>
      <w:ind w:left="567"/>
    </w:pPr>
    <w:rPr>
      <w:rFonts w:ascii="Antiqua" w:cs="Antiqua" w:eastAsia="Antiqua" w:hAnsi="Antiqua"/>
      <w:b w:val="1"/>
      <w:smallCaps w:val="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spacing w:before="120" w:lineRule="auto"/>
      <w:ind w:left="567"/>
    </w:pPr>
    <w:rPr>
      <w:rFonts w:ascii="Antiqua" w:cs="Antiqua" w:eastAsia="Antiqua" w:hAnsi="Antiqua"/>
      <w:b w:val="1"/>
      <w:i w:val="1"/>
      <w:sz w:val="26"/>
      <w:szCs w:val="2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