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27" w:rsidRDefault="00A0378C" w:rsidP="00A0378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РЕЗУЛЬТАТИ</w:t>
      </w:r>
    </w:p>
    <w:p w:rsidR="00874727" w:rsidRDefault="00A0378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заключного моніторингу</w:t>
      </w:r>
    </w:p>
    <w:p w:rsidR="00874727" w:rsidRDefault="00A0378C">
      <w:pPr>
        <w:spacing w:line="240" w:lineRule="auto"/>
        <w:ind w:left="26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(програми) міжнародної технічної допомоги “Підтримка розвитку інфраструктури електронної системи охорони здоров'я в Україні”</w:t>
      </w:r>
    </w:p>
    <w:p w:rsidR="00874727" w:rsidRDefault="00874727">
      <w:pPr>
        <w:spacing w:line="240" w:lineRule="auto"/>
        <w:ind w:left="2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8"/>
        <w:tblW w:w="873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365"/>
      </w:tblGrid>
      <w:tr w:rsidR="00874727">
        <w:trPr>
          <w:trHeight w:val="749"/>
        </w:trPr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Піврічний/річний/заключний (зазначити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необхідне)</w:t>
            </w:r>
          </w:p>
        </w:tc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Заключний</w:t>
            </w:r>
          </w:p>
        </w:tc>
      </w:tr>
      <w:tr w:rsidR="00874727">
        <w:trPr>
          <w:trHeight w:val="525"/>
        </w:trPr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Період звітування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28.09.2018 – 30.09.2022</w:t>
            </w:r>
          </w:p>
        </w:tc>
      </w:tr>
      <w:tr w:rsidR="00874727">
        <w:trPr>
          <w:trHeight w:val="525"/>
        </w:trPr>
        <w:tc>
          <w:tcPr>
            <w:tcW w:w="8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Вихідні дані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(програми)</w:t>
            </w:r>
          </w:p>
        </w:tc>
      </w:tr>
      <w:tr w:rsidR="00874727">
        <w:trPr>
          <w:trHeight w:val="79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Партнер з розвитку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Уряд США через Агентство США з міжнародного розвитку</w:t>
            </w:r>
          </w:p>
        </w:tc>
      </w:tr>
      <w:tr w:rsidR="00874727">
        <w:trPr>
          <w:trHeight w:val="52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Бенефіціар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охорони здоров’я України</w:t>
            </w:r>
          </w:p>
        </w:tc>
      </w:tr>
      <w:tr w:rsidR="00874727">
        <w:trPr>
          <w:trHeight w:val="135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Реципієнт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Міністерство охорони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здоров’я України (код ЄДРПОУ 00012925), Національна служба здоров’я України (код ЄДРПОУ 42032422)</w:t>
            </w:r>
          </w:p>
        </w:tc>
      </w:tr>
      <w:tr w:rsidR="00874727">
        <w:trPr>
          <w:trHeight w:val="57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Номер реєстраційної картки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4035-04</w:t>
            </w:r>
          </w:p>
        </w:tc>
      </w:tr>
      <w:tr w:rsidR="00874727">
        <w:trPr>
          <w:trHeight w:val="525"/>
        </w:trPr>
        <w:tc>
          <w:tcPr>
            <w:tcW w:w="8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Інформація про досягнення очікуваних результатів</w:t>
            </w:r>
          </w:p>
        </w:tc>
      </w:tr>
      <w:tr w:rsidR="00874727">
        <w:trPr>
          <w:trHeight w:val="10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Узагальнені результати реалізації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(програми)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кількісних та/або якісних показниках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Надана підтримка в частині комплексного розвитку інфраструктури електронної системи охорони здоров’я (ЕСОЗ). </w:t>
            </w:r>
          </w:p>
          <w:p w:rsidR="00874727" w:rsidRDefault="008747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Зокрема, здійснено розробку низки функціональних елементів ЕСОЗ, пов’язаних, у тому числі з процесом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контрактування, закупівлі лікарських засобів (ЛЗ), закупівлі медичних послуг спеціалізованої допомоги, електронним рецептом, адміністрування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валідації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медичних закладів, перевірки їхніх ліцензійних даних тощо.</w:t>
            </w:r>
          </w:p>
          <w:p w:rsidR="00874727" w:rsidRDefault="008747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Задля створення єдиного середовища, що збе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рігає повну інформацію про операційну та фінансово-економічну діяльність НСЗУ, вжито заходів у частині побудови та впровадження  інформаційної системи НСЗУ (ІС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НСЗУ) як невід’ємної частини ЕСОЗ. Водночас варто зауважити, що на дату завершення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бка ІС НСЗУ потребує подальшого впровадження із залученням додаткового фінансування</w:t>
            </w:r>
          </w:p>
        </w:tc>
      </w:tr>
      <w:tr w:rsidR="00874727">
        <w:trPr>
          <w:trHeight w:val="160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Посилання на інтернет-ресурси, де розміщено інформацію про результати реалізації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(програми) та інші матеріали або документи, розроблені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(програми)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lang w:val="uk-UA"/>
              </w:rPr>
            </w:pPr>
            <w:hyperlink r:id="rId5">
              <w:r>
                <w:rPr>
                  <w:rFonts w:ascii="Times New Roman" w:hAnsi="Times New Roman"/>
                  <w:sz w:val="24"/>
                  <w:szCs w:val="24"/>
                  <w:u w:val="single"/>
                  <w:lang w:val="uk-UA"/>
                </w:rPr>
                <w:t>https://nszu.gov.ua/</w:t>
              </w:r>
            </w:hyperlink>
          </w:p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>
              <w:r>
                <w:rPr>
                  <w:rFonts w:ascii="Times New Roman" w:hAnsi="Times New Roman"/>
                  <w:sz w:val="24"/>
                  <w:szCs w:val="24"/>
                  <w:u w:val="single"/>
                  <w:lang w:val="uk-UA"/>
                </w:rPr>
                <w:t>https://ehealth.gov.ua/</w:t>
              </w:r>
            </w:hyperlink>
          </w:p>
          <w:p w:rsidR="00874727" w:rsidRDefault="00874727">
            <w:pPr>
              <w:spacing w:line="240" w:lineRule="auto"/>
              <w:ind w:left="108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4727">
        <w:trPr>
          <w:trHeight w:val="160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сума витрачених під час реалізації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(програми) коштів міжнародної технічної допомоги на кінець звітного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періоду ( за наявності), у тому числі за категоріями: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31 515 028,00 грн </w:t>
            </w:r>
          </w:p>
        </w:tc>
      </w:tr>
      <w:tr w:rsidR="00874727">
        <w:trPr>
          <w:trHeight w:val="106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послуги з організації тренінгів, навчання, опитування, інформаційні кампанії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ind w:left="108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74727">
        <w:trPr>
          <w:trHeight w:val="52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консультативні послуги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ind w:left="108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74727">
        <w:trPr>
          <w:trHeight w:val="52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ind w:left="108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74727">
        <w:trPr>
          <w:trHeight w:val="79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будівельні, ремонтні роботи, технічний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нагляд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74727">
        <w:trPr>
          <w:trHeight w:val="52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адміністративні витрати виконавця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ind w:left="108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74727">
        <w:trPr>
          <w:trHeight w:val="525"/>
        </w:trPr>
        <w:tc>
          <w:tcPr>
            <w:tcW w:w="8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Порівняння запланованих результатів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(програми) з досягнутими</w:t>
            </w:r>
          </w:p>
        </w:tc>
      </w:tr>
    </w:tbl>
    <w:p w:rsidR="00874727" w:rsidRDefault="00A037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Style w:val="a8"/>
        <w:tblW w:w="873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895"/>
        <w:gridCol w:w="2910"/>
      </w:tblGrid>
      <w:tr w:rsidR="00874727">
        <w:trPr>
          <w:trHeight w:val="106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Кількісні та/або якісні критерії результативності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(програми)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Заплановані результати на кінець звітного періоду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Фактичні результати на кінець звітного періоду</w:t>
            </w:r>
          </w:p>
        </w:tc>
      </w:tr>
      <w:tr w:rsidR="00874727">
        <w:trPr>
          <w:trHeight w:val="225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Розширення функціональних можливостей ЕСОЗ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Розробка та запуск програмних рішень в ЕСОЗ в частині здійснення процесу контрактування на рівні спеціалізованої медичної допомоги, поліпшення процесу закупівлі ЛЗ 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адміністрування закладів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охорони здоров’я в системі тощо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lastRenderedPageBreak/>
              <w:t xml:space="preserve">Відповідно до Договору про передання (відчуження) прав інтелектуальної власності від 01.04.2020 № 58 на користь держави в особі НСЗУ передані права на інтелектуальну власність програмного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lastRenderedPageBreak/>
              <w:t>забезпече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 xml:space="preserve">ння,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зокрема, щодо медичних подій (направлень) на рівні первинної медичної допомоги, процесу закупівлі медичних послуг (в тому числі на рівні спеціалізованої медичної допомоги) та ЛЗ, функціонування електронного рецепта, модуля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Антифрод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Системи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аутенфікац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базі IР-телефонії, перевірки даних про медичні заклади з використанням інформації Єдиного державного реєстру юридичних осіб, фізичних осіб – підприємців та громадських формувань, щодо адміністрування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валідації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медичних закладів, перевірки їхніх 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цензійних даних та ліцензійних даних місць роздрібної торгівлі ЛЗ, менеджмент реєстрів програми “Доступні ліки” тощо</w:t>
            </w:r>
          </w:p>
        </w:tc>
      </w:tr>
      <w:tr w:rsidR="00874727">
        <w:trPr>
          <w:trHeight w:val="5115"/>
        </w:trPr>
        <w:tc>
          <w:tcPr>
            <w:tcW w:w="29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Автоматизація всіх внутрішніх процесів НСЗУ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єдиного середовища, що зберігає повну інформацію про операційну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фінансово-економічну діяльність НСЗУ</w:t>
            </w:r>
          </w:p>
          <w:p w:rsidR="00874727" w:rsidRDefault="008747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74727" w:rsidRDefault="008747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Здійснено технічний супровід</w:t>
            </w:r>
          </w:p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закупівлі</w:t>
            </w:r>
          </w:p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 НСЗУ. Розроблено та погоджено концепцію запуску системи у промислову експлуатацію. Однак у зв’язку з повномасштабною збройною агресією російської федерації перехід у промислов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експлуатацію не відбувся у запланований термін до 31.03.2022. Продуктивна система продовжує працювати у режимі дослідно-промислової експлуатації. </w:t>
            </w:r>
          </w:p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Виконується завантаження та опрацювання електронних медичних записів, рецептів та декларацій. Внаслідок зна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чної кількості помилок навчання кінцевих користувачів системи наразі не може бути розпочато. Запуск у промислову експлуатацію відкладено на 1 – 2 квартали 2023 року</w:t>
            </w:r>
          </w:p>
        </w:tc>
      </w:tr>
      <w:tr w:rsidR="00874727">
        <w:trPr>
          <w:trHeight w:val="1140"/>
        </w:trPr>
        <w:tc>
          <w:tcPr>
            <w:tcW w:w="2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8747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Внесення змін у налаштування системи у зв’язку із зміною порядку розрахунків у НСЗУ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огляду на воєнний стан в Україні змінилася процедура розрахунків звітів, що не передбачалось попереднім рішенням. </w:t>
            </w:r>
          </w:p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боку інтегратора частково втрачена команда консультантів за напрямами BPC та SRM, що унеможливлює повноцінне впровадження торговельного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айданчика та зміну розрахунків; компетенції спеціалістів НСЗУ наразі недостатньо для внесення змін в систему. Робота за цим напрямом триває</w:t>
            </w:r>
          </w:p>
        </w:tc>
      </w:tr>
      <w:tr w:rsidR="00874727">
        <w:trPr>
          <w:trHeight w:val="1140"/>
        </w:trPr>
        <w:tc>
          <w:tcPr>
            <w:tcW w:w="2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8747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налаштування SRM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Відкладено на друге півріччя 2023 року, наразі опрацьовується можливість залучення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додаткової експертної допомоги в рамках інших проєктів міжнародної технічної допомоги</w:t>
            </w:r>
          </w:p>
        </w:tc>
      </w:tr>
      <w:tr w:rsidR="00874727">
        <w:trPr>
          <w:trHeight w:val="1140"/>
        </w:trPr>
        <w:tc>
          <w:tcPr>
            <w:tcW w:w="2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8747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Закупівля необхідного програмного забезпечення для функціонування ІС НСЗУ (ліцензії SAP)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Необхідне програмне забезпечення для функціонування ІС НСЗУ закуплене. </w:t>
            </w:r>
            <w:r>
              <w:rPr>
                <w:rFonts w:ascii="Times New Roman" w:hAnsi="Times New Roman"/>
                <w:sz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обота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договору 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передачу на баланс НСЗУ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триває</w:t>
            </w:r>
          </w:p>
        </w:tc>
      </w:tr>
      <w:tr w:rsidR="00874727">
        <w:trPr>
          <w:trHeight w:val="525"/>
        </w:trPr>
        <w:tc>
          <w:tcPr>
            <w:tcW w:w="87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 Проблемні питання та/або пропозиції</w:t>
            </w:r>
          </w:p>
        </w:tc>
      </w:tr>
      <w:tr w:rsidR="00874727">
        <w:trPr>
          <w:trHeight w:val="525"/>
        </w:trPr>
        <w:tc>
          <w:tcPr>
            <w:tcW w:w="87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межах діяльності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було виконано комплекс робіт, спрямованих на розбудову інфраструктури ЕСОЗ із фокусом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пацієнтоорієнтований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підхід. Зокрема,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розширено функціональні можливості ЕСОЗ та запущено у дослідно-промислову експлуатацію ІС НСЗУ, яка є єдиним середовищем, що зберігає повну інформацію про операційну та фінансово-економічну діяльність НСЗУ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(в частині реалізації програми медичних гарантій)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Водночас перехід у промислову експлуатацію та подальший розвиток системи потребують допоміжних ресурсів. Пропонується пошук та залучення додаткового фінансування для продовження робіт зі забезпечення автоматизації процесів НСЗУ, а саме –  експертна підтри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мка кваліфікованих розробників та консультантів SAP (двох FTE на Архітектора та спеціаліста BPC, а також восьми спеціалістів за іншими напрямами).</w:t>
            </w:r>
          </w:p>
        </w:tc>
      </w:tr>
    </w:tbl>
    <w:p w:rsidR="00874727" w:rsidRDefault="00A037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74727" w:rsidRDefault="008747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876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1980"/>
        <w:gridCol w:w="3495"/>
      </w:tblGrid>
      <w:tr w:rsidR="00874727">
        <w:trPr>
          <w:trHeight w:val="2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 БОЙКО</w:t>
            </w:r>
          </w:p>
          <w:p w:rsidR="00874727" w:rsidRDefault="00A0378C">
            <w:pPr>
              <w:spacing w:line="240" w:lineRule="auto"/>
              <w:ind w:right="-10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74727">
        <w:trPr>
          <w:trHeight w:val="145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реципієнта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727" w:rsidRDefault="00A0378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 ГУСАК</w:t>
            </w:r>
          </w:p>
          <w:p w:rsidR="00874727" w:rsidRDefault="00A0378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74727" w:rsidRDefault="00874727">
      <w:pPr>
        <w:spacing w:line="240" w:lineRule="auto"/>
        <w:jc w:val="both"/>
        <w:rPr>
          <w:lang w:val="uk-UA"/>
        </w:rPr>
      </w:pPr>
    </w:p>
    <w:sectPr w:rsidR="00874727">
      <w:pgSz w:w="11909" w:h="16834"/>
      <w:pgMar w:top="1440" w:right="1440" w:bottom="568" w:left="1440" w:header="720" w:footer="720" w:gutter="0"/>
      <w:pgNumType w:start="1"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F1177"/>
    <w:multiLevelType w:val="hybridMultilevel"/>
    <w:tmpl w:val="365CB1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27"/>
    <w:rsid w:val="00874727"/>
    <w:rsid w:val="00A0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0507"/>
  <w15:docId w15:val="{B5A73294-A2E8-4810-9871-73D65ABE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health.gov.ua/" TargetMode="External"/><Relationship Id="rId5" Type="http://schemas.openxmlformats.org/officeDocument/2006/relationships/hyperlink" Target="https://nszu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3986</Words>
  <Characters>2273</Characters>
  <Application>Microsoft Office Word</Application>
  <DocSecurity>0</DocSecurity>
  <Lines>18</Lines>
  <Paragraphs>12</Paragraphs>
  <ScaleCrop>false</ScaleCrop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</dc:creator>
  <cp:lastModifiedBy>Лілія</cp:lastModifiedBy>
  <cp:revision>6</cp:revision>
  <dcterms:created xsi:type="dcterms:W3CDTF">2023-01-10T11:57:00Z</dcterms:created>
  <dcterms:modified xsi:type="dcterms:W3CDTF">2023-02-07T12:55:00Z</dcterms:modified>
</cp:coreProperties>
</file>